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144F0" w14:textId="77777777" w:rsidR="00966FC3" w:rsidRPr="007C3D9F" w:rsidRDefault="003436FE" w:rsidP="00966FC3">
      <w:pPr>
        <w:tabs>
          <w:tab w:val="left" w:pos="1276"/>
        </w:tabs>
        <w:jc w:val="center"/>
        <w:rPr>
          <w:b/>
          <w:bCs/>
          <w:sz w:val="24"/>
          <w:szCs w:val="24"/>
        </w:rPr>
      </w:pPr>
      <w:r w:rsidRPr="007C3D9F">
        <w:rPr>
          <w:b/>
          <w:sz w:val="24"/>
          <w:szCs w:val="24"/>
        </w:rPr>
        <w:t>PUBLICATION REFERENCE</w:t>
      </w:r>
      <w:r w:rsidR="007B39E9" w:rsidRPr="007C3D9F">
        <w:rPr>
          <w:b/>
          <w:sz w:val="24"/>
          <w:szCs w:val="24"/>
        </w:rPr>
        <w:t xml:space="preserve">: </w:t>
      </w:r>
      <w:r w:rsidR="00763E7C" w:rsidRPr="007C3D9F">
        <w:rPr>
          <w:rFonts w:ascii="Times" w:hAnsi="Times" w:cs="Times"/>
          <w:b/>
          <w:sz w:val="24"/>
          <w:szCs w:val="24"/>
          <w:lang w:val="en-GB"/>
        </w:rPr>
        <w:t xml:space="preserve">Ref. </w:t>
      </w:r>
      <w:r w:rsidR="00966FC3" w:rsidRPr="007C3D9F">
        <w:rPr>
          <w:b/>
          <w:bCs/>
          <w:sz w:val="24"/>
          <w:szCs w:val="24"/>
        </w:rPr>
        <w:t>IPA-ADRION00021</w:t>
      </w:r>
    </w:p>
    <w:p w14:paraId="6CBC8E5C" w14:textId="1B5D87AA" w:rsidR="00966FC3" w:rsidRPr="00B806F8" w:rsidRDefault="00966FC3" w:rsidP="00B806F8">
      <w:pPr>
        <w:tabs>
          <w:tab w:val="left" w:pos="1276"/>
        </w:tabs>
        <w:jc w:val="center"/>
        <w:rPr>
          <w:b/>
          <w:bCs/>
          <w:sz w:val="24"/>
          <w:szCs w:val="24"/>
        </w:rPr>
      </w:pPr>
      <w:r w:rsidRPr="4E9A090C">
        <w:rPr>
          <w:b/>
          <w:bCs/>
          <w:sz w:val="24"/>
          <w:szCs w:val="24"/>
        </w:rPr>
        <w:t>GREENROUTES</w:t>
      </w:r>
      <w:r w:rsidR="00646075" w:rsidRPr="4E9A090C">
        <w:rPr>
          <w:b/>
          <w:bCs/>
          <w:sz w:val="24"/>
          <w:szCs w:val="24"/>
        </w:rPr>
        <w:t>/</w:t>
      </w:r>
      <w:r w:rsidRPr="4E9A090C">
        <w:rPr>
          <w:b/>
          <w:bCs/>
          <w:color w:val="FF0000"/>
          <w:sz w:val="24"/>
          <w:szCs w:val="24"/>
        </w:rPr>
        <w:t xml:space="preserve"> </w:t>
      </w:r>
      <w:r w:rsidR="00646075" w:rsidRPr="4E9A090C">
        <w:rPr>
          <w:b/>
          <w:bCs/>
          <w:sz w:val="24"/>
          <w:szCs w:val="24"/>
        </w:rPr>
        <w:t>S</w:t>
      </w:r>
      <w:r w:rsidR="05A73023" w:rsidRPr="4E9A090C">
        <w:rPr>
          <w:b/>
          <w:bCs/>
          <w:sz w:val="24"/>
          <w:szCs w:val="24"/>
        </w:rPr>
        <w:t>T</w:t>
      </w:r>
      <w:r w:rsidR="00646075" w:rsidRPr="4E9A090C">
        <w:rPr>
          <w:b/>
          <w:bCs/>
          <w:sz w:val="24"/>
          <w:szCs w:val="24"/>
        </w:rPr>
        <w:t>P1</w:t>
      </w:r>
    </w:p>
    <w:p w14:paraId="672A6659" w14:textId="77777777" w:rsidR="00966FC3" w:rsidRDefault="00966FC3" w:rsidP="00B806F8">
      <w:pPr>
        <w:widowControl w:val="0"/>
        <w:autoSpaceDE w:val="0"/>
        <w:autoSpaceDN w:val="0"/>
        <w:adjustRightInd w:val="0"/>
        <w:jc w:val="center"/>
        <w:rPr>
          <w:b/>
          <w:lang w:val="en-GB"/>
        </w:rPr>
      </w:pPr>
    </w:p>
    <w:p w14:paraId="502EA0A5" w14:textId="6E871910" w:rsidR="00966FC3" w:rsidRPr="007C3D9F" w:rsidRDefault="59AF642A" w:rsidP="00B806F8">
      <w:pPr>
        <w:pStyle w:val="Subtitle"/>
        <w:spacing w:after="240"/>
        <w:rPr>
          <w:sz w:val="24"/>
          <w:szCs w:val="24"/>
          <w:lang w:val="en-GB"/>
        </w:rPr>
      </w:pPr>
      <w:r w:rsidRPr="4E9A090C">
        <w:rPr>
          <w:rFonts w:ascii="Times" w:hAnsi="Times" w:cs="Times"/>
          <w:sz w:val="24"/>
          <w:szCs w:val="24"/>
        </w:rPr>
        <w:t>"</w:t>
      </w:r>
      <w:proofErr w:type="spellStart"/>
      <w:r w:rsidR="00966FC3" w:rsidRPr="4E9A090C">
        <w:rPr>
          <w:rFonts w:ascii="Times" w:hAnsi="Times" w:cs="Times"/>
          <w:sz w:val="24"/>
          <w:szCs w:val="24"/>
        </w:rPr>
        <w:t>Technical</w:t>
      </w:r>
      <w:proofErr w:type="spellEnd"/>
      <w:r w:rsidR="00966FC3" w:rsidRPr="4E9A090C">
        <w:rPr>
          <w:rFonts w:ascii="Times" w:hAnsi="Times" w:cs="Times"/>
          <w:sz w:val="24"/>
          <w:szCs w:val="24"/>
        </w:rPr>
        <w:t xml:space="preserve"> assistance </w:t>
      </w:r>
      <w:proofErr w:type="spellStart"/>
      <w:proofErr w:type="gramStart"/>
      <w:r w:rsidR="00966FC3" w:rsidRPr="4E9A090C">
        <w:rPr>
          <w:rFonts w:ascii="Times" w:hAnsi="Times" w:cs="Times"/>
          <w:sz w:val="24"/>
          <w:szCs w:val="24"/>
        </w:rPr>
        <w:t>on</w:t>
      </w:r>
      <w:proofErr w:type="spellEnd"/>
      <w:proofErr w:type="gramEnd"/>
      <w:r w:rsidR="00966FC3" w:rsidRPr="4E9A090C">
        <w:rPr>
          <w:rFonts w:ascii="Times" w:hAnsi="Times" w:cs="Times"/>
          <w:sz w:val="24"/>
          <w:szCs w:val="24"/>
        </w:rPr>
        <w:t xml:space="preserve"> EU </w:t>
      </w:r>
      <w:r w:rsidR="00B806F8" w:rsidRPr="4E9A090C">
        <w:rPr>
          <w:rFonts w:ascii="Times" w:hAnsi="Times" w:cs="Times"/>
          <w:sz w:val="24"/>
          <w:szCs w:val="24"/>
        </w:rPr>
        <w:t>Financial</w:t>
      </w:r>
      <w:r w:rsidR="00966FC3" w:rsidRPr="4E9A090C">
        <w:rPr>
          <w:rFonts w:ascii="Times" w:hAnsi="Times" w:cs="Times"/>
          <w:sz w:val="24"/>
          <w:szCs w:val="24"/>
        </w:rPr>
        <w:t xml:space="preserve"> management, </w:t>
      </w:r>
      <w:proofErr w:type="spellStart"/>
      <w:r w:rsidR="00966FC3" w:rsidRPr="4E9A090C">
        <w:rPr>
          <w:rFonts w:ascii="Times" w:hAnsi="Times" w:cs="Times"/>
          <w:sz w:val="24"/>
          <w:szCs w:val="24"/>
        </w:rPr>
        <w:t>reporting</w:t>
      </w:r>
      <w:proofErr w:type="spellEnd"/>
      <w:r w:rsidR="00966FC3" w:rsidRPr="4E9A090C">
        <w:rPr>
          <w:rFonts w:ascii="Times" w:hAnsi="Times" w:cs="Times"/>
          <w:sz w:val="24"/>
          <w:szCs w:val="24"/>
        </w:rPr>
        <w:t xml:space="preserve"> and </w:t>
      </w:r>
      <w:proofErr w:type="spellStart"/>
      <w:r w:rsidR="00966FC3" w:rsidRPr="4E9A090C">
        <w:rPr>
          <w:rFonts w:ascii="Times" w:hAnsi="Times" w:cs="Times"/>
          <w:sz w:val="24"/>
          <w:szCs w:val="24"/>
        </w:rPr>
        <w:t>procurement</w:t>
      </w:r>
      <w:proofErr w:type="spellEnd"/>
      <w:r w:rsidR="3E308997" w:rsidRPr="4E9A090C">
        <w:rPr>
          <w:rFonts w:ascii="Times" w:hAnsi="Times" w:cs="Times"/>
          <w:sz w:val="24"/>
          <w:szCs w:val="24"/>
        </w:rPr>
        <w:t>"</w:t>
      </w:r>
    </w:p>
    <w:p w14:paraId="0A37501D" w14:textId="77777777" w:rsidR="00966FC3" w:rsidRPr="007C3D9F" w:rsidRDefault="00966FC3" w:rsidP="00966FC3">
      <w:pPr>
        <w:pStyle w:val="Subtitle"/>
        <w:spacing w:after="240"/>
        <w:rPr>
          <w:sz w:val="24"/>
          <w:szCs w:val="24"/>
          <w:lang w:val="en-GB"/>
        </w:rPr>
      </w:pPr>
    </w:p>
    <w:p w14:paraId="4D5985C1" w14:textId="77777777" w:rsidR="00333459" w:rsidRPr="002B370E" w:rsidRDefault="00333459" w:rsidP="00333459">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2496BA29" w14:textId="77777777" w:rsidR="00333459" w:rsidRPr="002B370E" w:rsidRDefault="00966FC3" w:rsidP="00333459">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 and</w:t>
      </w:r>
      <w:r w:rsidRPr="002B370E">
        <w:rPr>
          <w:sz w:val="22"/>
          <w:szCs w:val="22"/>
          <w:lang w:val="en-GB"/>
        </w:rPr>
        <w:t xml:space="preserve"> </w:t>
      </w:r>
      <w:proofErr w:type="spellStart"/>
      <w:r w:rsidRPr="002B370E">
        <w:rPr>
          <w:sz w:val="22"/>
          <w:szCs w:val="22"/>
          <w:lang w:val="en-GB"/>
        </w:rPr>
        <w:t>selectin</w:t>
      </w:r>
      <w:r>
        <w:rPr>
          <w:sz w:val="22"/>
          <w:szCs w:val="22"/>
          <w:lang w:val="en-GB"/>
        </w:rPr>
        <w:t>gtenders</w:t>
      </w:r>
      <w:proofErr w:type="spellEnd"/>
      <w:r>
        <w:rPr>
          <w:sz w:val="22"/>
          <w:szCs w:val="22"/>
          <w:lang w:val="en-GB"/>
        </w:rPr>
        <w:t>. They apply to</w:t>
      </w:r>
      <w:r w:rsidRPr="002B370E">
        <w:rPr>
          <w:sz w:val="22"/>
          <w:szCs w:val="22"/>
          <w:lang w:val="en-GB"/>
        </w:rPr>
        <w:t xml:space="preserve"> this call for tenders, in conformity with the </w:t>
      </w:r>
      <w:r>
        <w:rPr>
          <w:sz w:val="22"/>
          <w:szCs w:val="22"/>
          <w:lang w:val="en-GB"/>
        </w:rPr>
        <w:t>p</w:t>
      </w:r>
      <w:r w:rsidRPr="002B370E">
        <w:rPr>
          <w:sz w:val="22"/>
          <w:szCs w:val="22"/>
          <w:lang w:val="en-GB"/>
        </w:rPr>
        <w:t xml:space="preserve">ractical </w:t>
      </w:r>
      <w:r>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r w:rsidRPr="00024BE9">
        <w:rPr>
          <w:rStyle w:val="Hyperlink"/>
          <w:sz w:val="22"/>
          <w:szCs w:val="22"/>
          <w:lang w:val="en-GB"/>
        </w:rPr>
        <w:t>https://wikis.ec.europa.eu/display/ExactExternalWiki/ePRAG</w:t>
      </w:r>
      <w:r w:rsidRPr="002B370E">
        <w:rPr>
          <w:sz w:val="22"/>
          <w:szCs w:val="22"/>
          <w:lang w:val="en-GB"/>
        </w:rPr>
        <w:t>).</w:t>
      </w:r>
    </w:p>
    <w:p w14:paraId="138EBFCC"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2250E9E1" w14:textId="77777777" w:rsidR="003436FE" w:rsidRPr="002B370E" w:rsidRDefault="003436FE">
      <w:pPr>
        <w:spacing w:after="120"/>
        <w:jc w:val="both"/>
        <w:rPr>
          <w:sz w:val="22"/>
          <w:szCs w:val="22"/>
        </w:rPr>
      </w:pPr>
      <w:r w:rsidRPr="002B370E">
        <w:rPr>
          <w:sz w:val="22"/>
          <w:szCs w:val="22"/>
        </w:rPr>
        <w:t>The services required by the Contracting Authority are described in the Terms of Reference.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645FF246"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7AFA350" w14:textId="77777777" w:rsidTr="4E9A090C">
        <w:tc>
          <w:tcPr>
            <w:tcW w:w="4820" w:type="dxa"/>
            <w:tcBorders>
              <w:bottom w:val="nil"/>
            </w:tcBorders>
          </w:tcPr>
          <w:p w14:paraId="5DAB6C7B" w14:textId="77777777" w:rsidR="003436FE" w:rsidRPr="002B370E" w:rsidRDefault="003436FE">
            <w:pPr>
              <w:rPr>
                <w:sz w:val="22"/>
                <w:szCs w:val="22"/>
              </w:rPr>
            </w:pPr>
          </w:p>
        </w:tc>
        <w:tc>
          <w:tcPr>
            <w:tcW w:w="1972" w:type="dxa"/>
            <w:shd w:val="clear" w:color="auto" w:fill="FFFFFF" w:themeFill="background1"/>
          </w:tcPr>
          <w:p w14:paraId="7B02AFC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clear" w:color="auto" w:fill="FFFFFF" w:themeFill="background1"/>
          </w:tcPr>
          <w:p w14:paraId="4B4C8373" w14:textId="77777777" w:rsidR="003436FE" w:rsidRPr="002B370E" w:rsidRDefault="003436FE">
            <w:pPr>
              <w:jc w:val="center"/>
              <w:rPr>
                <w:b/>
                <w:sz w:val="22"/>
                <w:szCs w:val="22"/>
              </w:rPr>
            </w:pPr>
            <w:r w:rsidRPr="002B370E">
              <w:rPr>
                <w:b/>
                <w:sz w:val="22"/>
                <w:szCs w:val="22"/>
              </w:rPr>
              <w:t>TIME*</w:t>
            </w:r>
          </w:p>
        </w:tc>
      </w:tr>
      <w:tr w:rsidR="003436FE" w:rsidRPr="002B370E" w14:paraId="366612BF" w14:textId="77777777" w:rsidTr="4E9A090C">
        <w:tc>
          <w:tcPr>
            <w:tcW w:w="4820" w:type="dxa"/>
            <w:shd w:val="clear" w:color="auto" w:fill="FFFFFF" w:themeFill="background1"/>
          </w:tcPr>
          <w:p w14:paraId="1A72F5F1" w14:textId="77777777" w:rsidR="003436FE" w:rsidRPr="002B370E" w:rsidRDefault="003436FE" w:rsidP="003436FE">
            <w:pPr>
              <w:spacing w:before="120" w:after="120"/>
              <w:rPr>
                <w:b/>
                <w:sz w:val="22"/>
                <w:szCs w:val="22"/>
              </w:rPr>
            </w:pPr>
            <w:r w:rsidRPr="002B370E">
              <w:rPr>
                <w:b/>
                <w:sz w:val="22"/>
                <w:szCs w:val="22"/>
              </w:rPr>
              <w:t>Site visit (if any)</w:t>
            </w:r>
          </w:p>
        </w:tc>
        <w:tc>
          <w:tcPr>
            <w:tcW w:w="1972" w:type="dxa"/>
          </w:tcPr>
          <w:p w14:paraId="5815D172" w14:textId="77777777" w:rsidR="003436FE" w:rsidRPr="000821EE" w:rsidRDefault="00337606" w:rsidP="005B6AC7">
            <w:pPr>
              <w:spacing w:before="120" w:after="120"/>
              <w:jc w:val="center"/>
              <w:rPr>
                <w:sz w:val="22"/>
                <w:szCs w:val="22"/>
              </w:rPr>
            </w:pPr>
            <w:r w:rsidRPr="000821EE">
              <w:rPr>
                <w:sz w:val="22"/>
                <w:szCs w:val="22"/>
              </w:rPr>
              <w:t xml:space="preserve">Not applicable </w:t>
            </w:r>
          </w:p>
        </w:tc>
        <w:tc>
          <w:tcPr>
            <w:tcW w:w="1572" w:type="dxa"/>
          </w:tcPr>
          <w:p w14:paraId="02EB378F" w14:textId="77777777" w:rsidR="003436FE" w:rsidRPr="002B370E" w:rsidRDefault="003436FE" w:rsidP="005B6AC7">
            <w:pPr>
              <w:spacing w:before="120" w:after="120"/>
              <w:jc w:val="center"/>
              <w:rPr>
                <w:sz w:val="22"/>
                <w:szCs w:val="22"/>
              </w:rPr>
            </w:pPr>
          </w:p>
        </w:tc>
      </w:tr>
      <w:tr w:rsidR="003436FE" w:rsidRPr="002B370E" w14:paraId="5EECA49C" w14:textId="77777777" w:rsidTr="4E9A090C">
        <w:tc>
          <w:tcPr>
            <w:tcW w:w="4820" w:type="dxa"/>
            <w:shd w:val="clear" w:color="auto" w:fill="FFFFFF" w:themeFill="background1"/>
          </w:tcPr>
          <w:p w14:paraId="7CE7F1C8" w14:textId="77777777" w:rsidR="003436FE" w:rsidRPr="002B370E" w:rsidRDefault="003436FE" w:rsidP="003436FE">
            <w:pPr>
              <w:spacing w:before="120" w:after="120"/>
              <w:rPr>
                <w:b/>
                <w:sz w:val="22"/>
                <w:szCs w:val="22"/>
              </w:rPr>
            </w:pPr>
            <w:r w:rsidRPr="002B370E">
              <w:rPr>
                <w:b/>
                <w:sz w:val="22"/>
                <w:szCs w:val="22"/>
              </w:rPr>
              <w:t>Information meeting (if any)</w:t>
            </w:r>
          </w:p>
        </w:tc>
        <w:tc>
          <w:tcPr>
            <w:tcW w:w="1972" w:type="dxa"/>
          </w:tcPr>
          <w:p w14:paraId="59F40D5F" w14:textId="77777777" w:rsidR="003436FE" w:rsidRPr="000821EE" w:rsidRDefault="00337606" w:rsidP="005B6AC7">
            <w:pPr>
              <w:spacing w:before="120" w:after="120"/>
              <w:jc w:val="center"/>
              <w:rPr>
                <w:sz w:val="22"/>
                <w:szCs w:val="22"/>
              </w:rPr>
            </w:pPr>
            <w:r w:rsidRPr="000821EE">
              <w:rPr>
                <w:sz w:val="22"/>
                <w:szCs w:val="22"/>
              </w:rPr>
              <w:t xml:space="preserve">Not applicable </w:t>
            </w:r>
          </w:p>
        </w:tc>
        <w:tc>
          <w:tcPr>
            <w:tcW w:w="1572" w:type="dxa"/>
          </w:tcPr>
          <w:p w14:paraId="6A05A809" w14:textId="77777777" w:rsidR="003436FE" w:rsidRPr="002B370E" w:rsidRDefault="003436FE" w:rsidP="005B6AC7">
            <w:pPr>
              <w:spacing w:before="120" w:after="120"/>
              <w:jc w:val="center"/>
              <w:rPr>
                <w:sz w:val="22"/>
                <w:szCs w:val="22"/>
              </w:rPr>
            </w:pPr>
          </w:p>
        </w:tc>
      </w:tr>
      <w:tr w:rsidR="003436FE" w:rsidRPr="002B370E" w14:paraId="025B9CF7" w14:textId="77777777" w:rsidTr="4E9A090C">
        <w:tc>
          <w:tcPr>
            <w:tcW w:w="4820" w:type="dxa"/>
            <w:shd w:val="clear" w:color="auto" w:fill="FFFFFF" w:themeFill="background1"/>
          </w:tcPr>
          <w:p w14:paraId="2E2E1379"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Contracting Authority</w:t>
            </w:r>
          </w:p>
        </w:tc>
        <w:tc>
          <w:tcPr>
            <w:tcW w:w="1972" w:type="dxa"/>
          </w:tcPr>
          <w:p w14:paraId="773F148E" w14:textId="77777777" w:rsidR="003436FE" w:rsidRPr="000821EE" w:rsidRDefault="00337606" w:rsidP="005B6AC7">
            <w:pPr>
              <w:spacing w:before="120" w:after="120"/>
              <w:jc w:val="center"/>
              <w:rPr>
                <w:sz w:val="22"/>
                <w:szCs w:val="22"/>
              </w:rPr>
            </w:pPr>
            <w:r w:rsidRPr="000821EE">
              <w:rPr>
                <w:sz w:val="22"/>
                <w:szCs w:val="22"/>
              </w:rPr>
              <w:t>Not applicable</w:t>
            </w:r>
          </w:p>
        </w:tc>
        <w:tc>
          <w:tcPr>
            <w:tcW w:w="1572" w:type="dxa"/>
          </w:tcPr>
          <w:p w14:paraId="5A39BBE3" w14:textId="77777777" w:rsidR="003436FE" w:rsidRPr="002B370E" w:rsidRDefault="003436FE" w:rsidP="005B6AC7">
            <w:pPr>
              <w:spacing w:before="120" w:after="120"/>
              <w:jc w:val="center"/>
              <w:rPr>
                <w:sz w:val="22"/>
                <w:szCs w:val="22"/>
              </w:rPr>
            </w:pPr>
          </w:p>
        </w:tc>
      </w:tr>
      <w:tr w:rsidR="003436FE" w:rsidRPr="002B370E" w14:paraId="0FF85AD8" w14:textId="77777777" w:rsidTr="4E9A090C">
        <w:tc>
          <w:tcPr>
            <w:tcW w:w="4820" w:type="dxa"/>
            <w:shd w:val="clear" w:color="auto" w:fill="FFFFFF" w:themeFill="background1"/>
          </w:tcPr>
          <w:p w14:paraId="321474B4"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Contracting Authority to issue </w:t>
            </w:r>
            <w:r w:rsidRPr="002B370E">
              <w:rPr>
                <w:b/>
                <w:sz w:val="22"/>
                <w:szCs w:val="22"/>
              </w:rPr>
              <w:t xml:space="preserve">clarification </w:t>
            </w:r>
          </w:p>
        </w:tc>
        <w:tc>
          <w:tcPr>
            <w:tcW w:w="1972" w:type="dxa"/>
          </w:tcPr>
          <w:p w14:paraId="5BF9EC20" w14:textId="77777777" w:rsidR="003436FE" w:rsidRPr="000821EE" w:rsidRDefault="00337606" w:rsidP="005B6AC7">
            <w:pPr>
              <w:spacing w:before="120" w:after="120"/>
              <w:jc w:val="center"/>
              <w:rPr>
                <w:sz w:val="22"/>
                <w:szCs w:val="22"/>
              </w:rPr>
            </w:pPr>
            <w:r w:rsidRPr="000821EE">
              <w:rPr>
                <w:sz w:val="22"/>
                <w:szCs w:val="22"/>
              </w:rPr>
              <w:t>Not applicable</w:t>
            </w:r>
          </w:p>
        </w:tc>
        <w:tc>
          <w:tcPr>
            <w:tcW w:w="1572" w:type="dxa"/>
          </w:tcPr>
          <w:p w14:paraId="6A09E912"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1B2B403F" w14:textId="77777777" w:rsidTr="4E9A090C">
        <w:tc>
          <w:tcPr>
            <w:tcW w:w="4820" w:type="dxa"/>
            <w:shd w:val="clear" w:color="auto" w:fill="FFFFFF" w:themeFill="background1"/>
          </w:tcPr>
          <w:p w14:paraId="0FAA8493"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080DFE29" w14:textId="2FE06402" w:rsidR="003436FE" w:rsidRPr="00C4433E" w:rsidRDefault="35DC6154" w:rsidP="4E9A090C">
            <w:pPr>
              <w:spacing w:before="120" w:after="120" w:line="259" w:lineRule="auto"/>
              <w:jc w:val="center"/>
            </w:pPr>
            <w:r w:rsidRPr="4E9A090C">
              <w:rPr>
                <w:sz w:val="22"/>
                <w:szCs w:val="22"/>
              </w:rPr>
              <w:t>2</w:t>
            </w:r>
            <w:r w:rsidR="00F2785B">
              <w:rPr>
                <w:sz w:val="22"/>
                <w:szCs w:val="22"/>
              </w:rPr>
              <w:t>3</w:t>
            </w:r>
            <w:r w:rsidRPr="4E9A090C">
              <w:rPr>
                <w:sz w:val="22"/>
                <w:szCs w:val="22"/>
              </w:rPr>
              <w:t xml:space="preserve"> December 2024</w:t>
            </w:r>
          </w:p>
        </w:tc>
        <w:tc>
          <w:tcPr>
            <w:tcW w:w="1572" w:type="dxa"/>
          </w:tcPr>
          <w:p w14:paraId="0AB3EBEA" w14:textId="77777777" w:rsidR="003436FE" w:rsidRPr="002B370E" w:rsidRDefault="00966FC3">
            <w:pPr>
              <w:spacing w:before="120" w:after="120"/>
              <w:jc w:val="center"/>
              <w:rPr>
                <w:sz w:val="22"/>
                <w:szCs w:val="22"/>
              </w:rPr>
            </w:pPr>
            <w:r>
              <w:rPr>
                <w:sz w:val="22"/>
                <w:szCs w:val="22"/>
              </w:rPr>
              <w:t>14</w:t>
            </w:r>
            <w:r w:rsidR="00337606">
              <w:rPr>
                <w:sz w:val="22"/>
                <w:szCs w:val="22"/>
              </w:rPr>
              <w:t>:00</w:t>
            </w:r>
          </w:p>
        </w:tc>
      </w:tr>
      <w:tr w:rsidR="003436FE" w:rsidRPr="002B370E" w14:paraId="5DFB5FAB" w14:textId="77777777" w:rsidTr="4E9A090C">
        <w:tc>
          <w:tcPr>
            <w:tcW w:w="4820" w:type="dxa"/>
            <w:shd w:val="clear" w:color="auto" w:fill="FFFFFF" w:themeFill="background1"/>
          </w:tcPr>
          <w:p w14:paraId="31993504"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6ECA16BA" w14:textId="77777777" w:rsidR="003436FE" w:rsidRPr="000821EE" w:rsidRDefault="00337606" w:rsidP="003436FE">
            <w:pPr>
              <w:spacing w:before="120" w:after="120"/>
              <w:jc w:val="center"/>
              <w:rPr>
                <w:sz w:val="22"/>
                <w:szCs w:val="22"/>
              </w:rPr>
            </w:pPr>
            <w:r w:rsidRPr="000821EE">
              <w:rPr>
                <w:sz w:val="22"/>
                <w:szCs w:val="22"/>
              </w:rPr>
              <w:t>Not applicable</w:t>
            </w:r>
          </w:p>
        </w:tc>
        <w:tc>
          <w:tcPr>
            <w:tcW w:w="1572" w:type="dxa"/>
          </w:tcPr>
          <w:p w14:paraId="33E67AC6"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6CBCBCAE" w14:textId="77777777" w:rsidTr="4E9A090C">
        <w:tc>
          <w:tcPr>
            <w:tcW w:w="4820" w:type="dxa"/>
            <w:shd w:val="clear" w:color="auto" w:fill="FFFFFF" w:themeFill="background1"/>
          </w:tcPr>
          <w:p w14:paraId="479F5DA5"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2E41B887" w14:textId="28D44D8E" w:rsidR="003436FE" w:rsidRPr="00C4433E" w:rsidRDefault="37DAC1E7" w:rsidP="4E9A090C">
            <w:pPr>
              <w:spacing w:before="120" w:after="120" w:line="259" w:lineRule="auto"/>
              <w:jc w:val="center"/>
            </w:pPr>
            <w:r w:rsidRPr="4E9A090C">
              <w:rPr>
                <w:sz w:val="22"/>
                <w:szCs w:val="22"/>
              </w:rPr>
              <w:t>27</w:t>
            </w:r>
            <w:r w:rsidR="1BCCFE33" w:rsidRPr="4E9A090C">
              <w:rPr>
                <w:sz w:val="22"/>
                <w:szCs w:val="22"/>
              </w:rPr>
              <w:t xml:space="preserve"> December 2024</w:t>
            </w:r>
          </w:p>
          <w:p w14:paraId="502D44FE" w14:textId="0806B25B" w:rsidR="003436FE" w:rsidRPr="00C4433E" w:rsidRDefault="003436FE" w:rsidP="00763E7C">
            <w:pPr>
              <w:spacing w:before="120" w:after="120"/>
              <w:jc w:val="center"/>
              <w:rPr>
                <w:color w:val="FF0000"/>
                <w:sz w:val="22"/>
                <w:szCs w:val="22"/>
              </w:rPr>
            </w:pPr>
          </w:p>
        </w:tc>
        <w:tc>
          <w:tcPr>
            <w:tcW w:w="1572" w:type="dxa"/>
          </w:tcPr>
          <w:p w14:paraId="012BACFD" w14:textId="77777777" w:rsidR="003436FE" w:rsidRPr="002B370E" w:rsidRDefault="00B7455A">
            <w:pPr>
              <w:spacing w:before="120" w:after="120"/>
              <w:jc w:val="center"/>
              <w:rPr>
                <w:sz w:val="22"/>
                <w:szCs w:val="22"/>
              </w:rPr>
            </w:pPr>
            <w:r>
              <w:rPr>
                <w:sz w:val="22"/>
                <w:szCs w:val="22"/>
              </w:rPr>
              <w:t>16:00</w:t>
            </w:r>
          </w:p>
        </w:tc>
      </w:tr>
      <w:tr w:rsidR="003436FE" w:rsidRPr="002B370E" w14:paraId="58163873" w14:textId="77777777" w:rsidTr="4E9A090C">
        <w:tc>
          <w:tcPr>
            <w:tcW w:w="4820" w:type="dxa"/>
            <w:shd w:val="clear" w:color="auto" w:fill="FFFFFF" w:themeFill="background1"/>
          </w:tcPr>
          <w:p w14:paraId="3DB40439"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29987A45" w14:textId="7EC50502" w:rsidR="003436FE" w:rsidRPr="00C4433E" w:rsidRDefault="1DA5ED99" w:rsidP="4E9A090C">
            <w:pPr>
              <w:spacing w:before="120" w:after="120"/>
              <w:jc w:val="center"/>
            </w:pPr>
            <w:r w:rsidRPr="4E9A090C">
              <w:rPr>
                <w:sz w:val="22"/>
                <w:szCs w:val="22"/>
              </w:rPr>
              <w:t>30 December 2024</w:t>
            </w:r>
          </w:p>
        </w:tc>
        <w:tc>
          <w:tcPr>
            <w:tcW w:w="1572" w:type="dxa"/>
          </w:tcPr>
          <w:p w14:paraId="1BBD13F9"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17643B46" w14:textId="77777777" w:rsidTr="4E9A090C">
        <w:tc>
          <w:tcPr>
            <w:tcW w:w="4820" w:type="dxa"/>
            <w:shd w:val="clear" w:color="auto" w:fill="FFFFFF" w:themeFill="background1"/>
          </w:tcPr>
          <w:p w14:paraId="44EBA60D"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6D122045" w14:textId="08BF3780" w:rsidR="003436FE" w:rsidRPr="00C4433E" w:rsidRDefault="72181606" w:rsidP="4E9A090C">
            <w:pPr>
              <w:spacing w:before="120" w:after="120"/>
              <w:jc w:val="center"/>
              <w:rPr>
                <w:sz w:val="22"/>
                <w:szCs w:val="22"/>
              </w:rPr>
            </w:pPr>
            <w:r w:rsidRPr="4E9A090C">
              <w:rPr>
                <w:sz w:val="22"/>
                <w:szCs w:val="22"/>
              </w:rPr>
              <w:t>7</w:t>
            </w:r>
            <w:r w:rsidR="00763E7C" w:rsidRPr="4E9A090C">
              <w:rPr>
                <w:sz w:val="22"/>
                <w:szCs w:val="22"/>
              </w:rPr>
              <w:t xml:space="preserve"> </w:t>
            </w:r>
            <w:r w:rsidR="21B5F8A2" w:rsidRPr="4E9A090C">
              <w:rPr>
                <w:sz w:val="22"/>
                <w:szCs w:val="22"/>
              </w:rPr>
              <w:t xml:space="preserve">January </w:t>
            </w:r>
            <w:r w:rsidR="1F42F955" w:rsidRPr="4E9A090C">
              <w:rPr>
                <w:sz w:val="22"/>
                <w:szCs w:val="22"/>
              </w:rPr>
              <w:t xml:space="preserve"> </w:t>
            </w:r>
            <w:r w:rsidR="31CD7521" w:rsidRPr="4E9A090C">
              <w:rPr>
                <w:sz w:val="22"/>
                <w:szCs w:val="22"/>
              </w:rPr>
              <w:t xml:space="preserve"> 202</w:t>
            </w:r>
            <w:r w:rsidR="00966FC3" w:rsidRPr="4E9A090C">
              <w:rPr>
                <w:sz w:val="22"/>
                <w:szCs w:val="22"/>
              </w:rPr>
              <w:t>5</w:t>
            </w:r>
          </w:p>
        </w:tc>
        <w:tc>
          <w:tcPr>
            <w:tcW w:w="1572" w:type="dxa"/>
          </w:tcPr>
          <w:p w14:paraId="0BE148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53A2D5D" w14:textId="77777777" w:rsidTr="4E9A090C">
        <w:tc>
          <w:tcPr>
            <w:tcW w:w="4820" w:type="dxa"/>
            <w:shd w:val="clear" w:color="auto" w:fill="FFFFFF" w:themeFill="background1"/>
          </w:tcPr>
          <w:p w14:paraId="798F9AC3"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5523434A" w14:textId="1CB2128C" w:rsidR="003436FE" w:rsidRPr="00C4433E" w:rsidRDefault="5244F786" w:rsidP="4E9A090C">
            <w:pPr>
              <w:spacing w:before="120" w:after="120"/>
              <w:jc w:val="center"/>
              <w:rPr>
                <w:sz w:val="22"/>
                <w:szCs w:val="22"/>
              </w:rPr>
            </w:pPr>
            <w:r w:rsidRPr="4E9A090C">
              <w:rPr>
                <w:sz w:val="22"/>
                <w:szCs w:val="22"/>
              </w:rPr>
              <w:t xml:space="preserve">7 </w:t>
            </w:r>
            <w:r w:rsidR="6694B77A" w:rsidRPr="4E9A090C">
              <w:rPr>
                <w:sz w:val="22"/>
                <w:szCs w:val="22"/>
              </w:rPr>
              <w:t>January 2025</w:t>
            </w:r>
          </w:p>
        </w:tc>
        <w:tc>
          <w:tcPr>
            <w:tcW w:w="1572" w:type="dxa"/>
          </w:tcPr>
          <w:p w14:paraId="09FA2A7E" w14:textId="77777777" w:rsidR="003436FE" w:rsidRPr="002B370E" w:rsidRDefault="003436FE">
            <w:pPr>
              <w:spacing w:before="120" w:after="120"/>
              <w:jc w:val="center"/>
              <w:rPr>
                <w:sz w:val="22"/>
                <w:szCs w:val="22"/>
              </w:rPr>
            </w:pPr>
            <w:r w:rsidRPr="002B370E">
              <w:rPr>
                <w:sz w:val="22"/>
                <w:szCs w:val="22"/>
              </w:rPr>
              <w:t>-</w:t>
            </w:r>
          </w:p>
        </w:tc>
      </w:tr>
    </w:tbl>
    <w:p w14:paraId="2DE32794" w14:textId="77777777"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rFonts w:ascii="Monotype Sorts" w:eastAsia="Monotype Sorts" w:hAnsi="Monotype Sorts" w:cs="Monotype Sorts"/>
          <w:sz w:val="22"/>
          <w:szCs w:val="22"/>
          <w:vertAlign w:val="superscript"/>
        </w:rPr>
        <w:t></w:t>
      </w:r>
      <w:r w:rsidRPr="002B370E">
        <w:rPr>
          <w:sz w:val="22"/>
          <w:szCs w:val="22"/>
          <w:vertAlign w:val="superscript"/>
        </w:rPr>
        <w:t xml:space="preserve"> </w:t>
      </w:r>
      <w:r w:rsidRPr="002B370E">
        <w:rPr>
          <w:b/>
          <w:sz w:val="22"/>
          <w:szCs w:val="22"/>
        </w:rPr>
        <w:t>Provisional date</w:t>
      </w:r>
    </w:p>
    <w:p w14:paraId="6B4C1C3F"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lastRenderedPageBreak/>
        <w:t>Participation and subcontracting</w:t>
      </w:r>
      <w:bookmarkEnd w:id="1"/>
    </w:p>
    <w:p w14:paraId="110377D7" w14:textId="77777777" w:rsidR="003436FE" w:rsidRPr="000821E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0821EE">
        <w:rPr>
          <w:sz w:val="22"/>
          <w:szCs w:val="22"/>
        </w:rPr>
        <w:t xml:space="preserve">Participation in this tender procedure is open only to the </w:t>
      </w:r>
      <w:r w:rsidR="00EF67ED" w:rsidRPr="000821EE">
        <w:rPr>
          <w:sz w:val="22"/>
          <w:szCs w:val="22"/>
        </w:rPr>
        <w:t>invited tenderers.</w:t>
      </w:r>
    </w:p>
    <w:p w14:paraId="4DB6C51B"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Natural or legal persons are not entitled to participate in this tender procedure or be awarded a contract if they are in any of the conditions mentioned in Section 2.3.3 of the </w:t>
      </w:r>
      <w:r w:rsidRPr="002B370E">
        <w:rPr>
          <w:b/>
          <w:sz w:val="22"/>
          <w:szCs w:val="22"/>
        </w:rPr>
        <w:t>Practical Guide to contract procedures for EU external actions</w:t>
      </w:r>
      <w:r w:rsidRPr="002B370E">
        <w:rPr>
          <w:sz w:val="22"/>
          <w:szCs w:val="22"/>
        </w:rPr>
        <w:t xml:space="preserve">. Should they do so, they may be excluded from tender procedures and contracts in accordance with Section 2.3.4 of the </w:t>
      </w:r>
      <w:r w:rsidRPr="002B370E">
        <w:rPr>
          <w:b/>
          <w:sz w:val="22"/>
          <w:szCs w:val="22"/>
        </w:rPr>
        <w:t>Practical Guide to contract procedures for EU external actions</w:t>
      </w:r>
      <w:r w:rsidRPr="002B370E">
        <w:rPr>
          <w:sz w:val="22"/>
          <w:szCs w:val="22"/>
        </w:rPr>
        <w:t>.</w:t>
      </w:r>
    </w:p>
    <w:p w14:paraId="2E39FF54"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14:paraId="5C97319F"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14:paraId="2CD65D92"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14:paraId="61B797E1" w14:textId="77777777" w:rsidR="00E4098C" w:rsidRPr="000821EE" w:rsidRDefault="00E4098C" w:rsidP="000821EE">
      <w:pPr>
        <w:pStyle w:val="BodyText"/>
        <w:widowControl w:val="0"/>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after="120" w:line="240" w:lineRule="exact"/>
        <w:ind w:hanging="300"/>
        <w:jc w:val="both"/>
        <w:rPr>
          <w:sz w:val="22"/>
          <w:szCs w:val="22"/>
        </w:rPr>
      </w:pPr>
      <w:r w:rsidRPr="000821EE">
        <w:rPr>
          <w:sz w:val="22"/>
          <w:szCs w:val="22"/>
        </w:rPr>
        <w:t>Sub-contracting is not allowed.</w:t>
      </w:r>
      <w:r w:rsidR="000821EE" w:rsidRPr="000821EE">
        <w:rPr>
          <w:sz w:val="22"/>
          <w:szCs w:val="22"/>
        </w:rPr>
        <w:t xml:space="preserve"> </w:t>
      </w:r>
      <w:r w:rsidR="000821EE" w:rsidRPr="00250F11">
        <w:rPr>
          <w:sz w:val="22"/>
          <w:szCs w:val="22"/>
        </w:rPr>
        <w:t xml:space="preserve">For this </w:t>
      </w:r>
      <w:r w:rsidR="00D55C2C" w:rsidRPr="00250F11">
        <w:rPr>
          <w:sz w:val="22"/>
          <w:szCs w:val="22"/>
        </w:rPr>
        <w:t>purpose,</w:t>
      </w:r>
      <w:r w:rsidR="000821EE" w:rsidRPr="00250F11">
        <w:rPr>
          <w:sz w:val="22"/>
          <w:szCs w:val="22"/>
        </w:rPr>
        <w:t xml:space="preserve"> individual experts recruited for the project as key or </w:t>
      </w:r>
      <w:r w:rsidR="00333459" w:rsidRPr="00250F11">
        <w:rPr>
          <w:sz w:val="22"/>
          <w:szCs w:val="22"/>
        </w:rPr>
        <w:t>non-key</w:t>
      </w:r>
      <w:r w:rsidR="000821EE" w:rsidRPr="00250F11">
        <w:rPr>
          <w:sz w:val="22"/>
          <w:szCs w:val="22"/>
        </w:rPr>
        <w:t xml:space="preserve"> experts are not regarded as subcontractors.</w:t>
      </w:r>
    </w:p>
    <w:p w14:paraId="68A9E9BA"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240B8273"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14:paraId="71D2DB11"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5702043D" w14:textId="3F091E92" w:rsidR="003436FE" w:rsidRPr="002B370E" w:rsidRDefault="003436FE" w:rsidP="003436FE">
      <w:pPr>
        <w:widowControl w:val="0"/>
        <w:spacing w:before="120" w:after="120"/>
        <w:jc w:val="both"/>
        <w:rPr>
          <w:sz w:val="22"/>
          <w:szCs w:val="22"/>
        </w:rPr>
      </w:pPr>
      <w:r w:rsidRPr="002B370E">
        <w:rPr>
          <w:sz w:val="22"/>
          <w:szCs w:val="22"/>
        </w:rPr>
        <w:t xml:space="preserve">The tender must comprise of a Technical offer and a </w:t>
      </w:r>
      <w:r w:rsidR="006E2983">
        <w:rPr>
          <w:sz w:val="22"/>
          <w:szCs w:val="22"/>
        </w:rPr>
        <w:t>F</w:t>
      </w:r>
      <w:r w:rsidR="006E2983" w:rsidRPr="002B370E">
        <w:rPr>
          <w:sz w:val="22"/>
          <w:szCs w:val="22"/>
        </w:rPr>
        <w:t>inancial</w:t>
      </w:r>
      <w:r w:rsidRPr="002B370E">
        <w:rPr>
          <w:sz w:val="22"/>
          <w:szCs w:val="22"/>
        </w:rPr>
        <w:t xml:space="preserve">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E13939">
        <w:rPr>
          <w:sz w:val="22"/>
          <w:szCs w:val="22"/>
        </w:rPr>
        <w:t>8</w:t>
      </w:r>
      <w:r w:rsidRPr="002B370E">
        <w:rPr>
          <w:sz w:val="22"/>
          <w:szCs w:val="22"/>
        </w:rPr>
        <w:fldChar w:fldCharType="end"/>
      </w:r>
      <w:r w:rsidRPr="002B370E">
        <w:rPr>
          <w:sz w:val="22"/>
          <w:szCs w:val="22"/>
        </w:rPr>
        <w:t xml:space="preserve">). Each Technical offer and Financial offer must contain one original, clearly marked </w:t>
      </w:r>
      <w:r w:rsidRPr="4E9A090C">
        <w:rPr>
          <w:b/>
          <w:bCs/>
          <w:sz w:val="22"/>
          <w:szCs w:val="22"/>
        </w:rPr>
        <w:t>‘Original’</w:t>
      </w:r>
      <w:r w:rsidR="00E4098C" w:rsidRPr="000821EE">
        <w:rPr>
          <w:sz w:val="22"/>
          <w:szCs w:val="22"/>
        </w:rPr>
        <w:t xml:space="preserve">, and </w:t>
      </w:r>
      <w:r w:rsidR="0E981180" w:rsidRPr="000821EE">
        <w:rPr>
          <w:sz w:val="22"/>
          <w:szCs w:val="22"/>
        </w:rPr>
        <w:t>2</w:t>
      </w:r>
      <w:r w:rsidR="00E4098C" w:rsidRPr="000821EE">
        <w:rPr>
          <w:sz w:val="22"/>
          <w:szCs w:val="22"/>
        </w:rPr>
        <w:t xml:space="preserve"> copies, each marked "</w:t>
      </w:r>
      <w:r w:rsidR="00E4098C" w:rsidRPr="4E9A090C">
        <w:rPr>
          <w:b/>
          <w:bCs/>
          <w:sz w:val="22"/>
          <w:szCs w:val="22"/>
        </w:rPr>
        <w:t>Copy</w:t>
      </w:r>
      <w:r w:rsidR="00E4098C" w:rsidRPr="000821EE">
        <w:rPr>
          <w:sz w:val="22"/>
          <w:szCs w:val="22"/>
        </w:rPr>
        <w:t xml:space="preserve">". </w:t>
      </w:r>
      <w:r w:rsidRPr="000821EE">
        <w:rPr>
          <w:sz w:val="22"/>
          <w:szCs w:val="22"/>
        </w:rPr>
        <w:t>Failure</w:t>
      </w:r>
      <w:r w:rsidRPr="002B370E">
        <w:rPr>
          <w:sz w:val="22"/>
          <w:szCs w:val="22"/>
        </w:rPr>
        <w:t xml:space="preserv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E13939">
        <w:rPr>
          <w:sz w:val="22"/>
          <w:szCs w:val="22"/>
        </w:rPr>
        <w:t>8</w:t>
      </w:r>
      <w:r w:rsidRPr="002B370E">
        <w:rPr>
          <w:sz w:val="22"/>
          <w:szCs w:val="22"/>
        </w:rPr>
        <w:fldChar w:fldCharType="end"/>
      </w:r>
      <w:r w:rsidRPr="002B370E">
        <w:rPr>
          <w:sz w:val="22"/>
          <w:szCs w:val="22"/>
        </w:rPr>
        <w:t xml:space="preserve"> will constitute a formal error and may result in rejection of the tender.</w:t>
      </w:r>
    </w:p>
    <w:p w14:paraId="2132CB17"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0459326F" w14:textId="77777777" w:rsidR="003436FE" w:rsidRPr="002B370E" w:rsidRDefault="003436FE" w:rsidP="003436FE">
      <w:pPr>
        <w:widowControl w:val="0"/>
        <w:spacing w:before="120" w:after="120"/>
        <w:jc w:val="both"/>
        <w:rPr>
          <w:sz w:val="22"/>
          <w:szCs w:val="22"/>
        </w:rPr>
      </w:pPr>
      <w:r w:rsidRPr="002B370E">
        <w:rPr>
          <w:sz w:val="22"/>
          <w:szCs w:val="22"/>
        </w:rPr>
        <w:t>The Technical offer must include the following documents:</w:t>
      </w:r>
    </w:p>
    <w:p w14:paraId="3A292BE1"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358AECAB" w14:textId="77777777" w:rsidR="003436FE" w:rsidRPr="002B370E" w:rsidRDefault="003436FE" w:rsidP="003436FE">
      <w:pPr>
        <w:numPr>
          <w:ilvl w:val="0"/>
          <w:numId w:val="27"/>
        </w:numPr>
        <w:tabs>
          <w:tab w:val="clear" w:pos="360"/>
          <w:tab w:val="num" w:pos="851"/>
        </w:tabs>
        <w:spacing w:before="120" w:after="120"/>
        <w:ind w:left="851" w:hanging="284"/>
        <w:jc w:val="both"/>
        <w:rPr>
          <w:sz w:val="22"/>
          <w:szCs w:val="22"/>
        </w:rPr>
      </w:pPr>
      <w:r w:rsidRPr="002B370E">
        <w:rPr>
          <w:sz w:val="22"/>
          <w:szCs w:val="22"/>
        </w:rPr>
        <w:t>Signed statements of exclusivity and availability (using the template included with the tender submission form), one for each key expert, the purpose of which are as follows:</w:t>
      </w:r>
    </w:p>
    <w:p w14:paraId="2011F51C" w14:textId="77777777" w:rsidR="003436FE" w:rsidRPr="002B370E" w:rsidRDefault="003436FE" w:rsidP="003436FE">
      <w:pPr>
        <w:numPr>
          <w:ilvl w:val="0"/>
          <w:numId w:val="35"/>
        </w:numPr>
        <w:tabs>
          <w:tab w:val="clear" w:pos="360"/>
        </w:tabs>
        <w:spacing w:before="120" w:after="120"/>
        <w:ind w:left="1276"/>
        <w:jc w:val="both"/>
        <w:rPr>
          <w:sz w:val="22"/>
          <w:szCs w:val="22"/>
        </w:rPr>
      </w:pPr>
      <w:r w:rsidRPr="002B370E">
        <w:rPr>
          <w:sz w:val="22"/>
          <w:szCs w:val="22"/>
        </w:rPr>
        <w:t xml:space="preserve">The key experts proposed in this tender must not be part of any other tender submitted for this tender procedure. They must therefore </w:t>
      </w:r>
      <w:r>
        <w:rPr>
          <w:sz w:val="22"/>
          <w:szCs w:val="22"/>
        </w:rPr>
        <w:t>commit</w:t>
      </w:r>
      <w:r w:rsidRPr="002B370E">
        <w:rPr>
          <w:sz w:val="22"/>
          <w:szCs w:val="22"/>
        </w:rPr>
        <w:t xml:space="preserve"> themselves exclusively to the tenderer.</w:t>
      </w:r>
    </w:p>
    <w:p w14:paraId="0264A046" w14:textId="77777777" w:rsidR="003436FE" w:rsidRPr="002B370E" w:rsidRDefault="003436FE" w:rsidP="003436FE">
      <w:pPr>
        <w:keepNext/>
        <w:numPr>
          <w:ilvl w:val="0"/>
          <w:numId w:val="35"/>
        </w:numPr>
        <w:tabs>
          <w:tab w:val="clear" w:pos="360"/>
        </w:tabs>
        <w:spacing w:before="120" w:after="120"/>
        <w:ind w:left="1276" w:hanging="357"/>
        <w:jc w:val="both"/>
        <w:rPr>
          <w:sz w:val="22"/>
          <w:szCs w:val="22"/>
        </w:rPr>
      </w:pPr>
      <w:r w:rsidRPr="002B370E">
        <w:rPr>
          <w:sz w:val="22"/>
          <w:szCs w:val="22"/>
        </w:rPr>
        <w:lastRenderedPageBreak/>
        <w:t xml:space="preserve">Each key expert must also undertake to be available, able and willing to work for the </w:t>
      </w:r>
      <w:r>
        <w:rPr>
          <w:sz w:val="22"/>
          <w:szCs w:val="22"/>
        </w:rPr>
        <w:t xml:space="preserve">whole </w:t>
      </w:r>
      <w:r w:rsidRPr="002B370E">
        <w:rPr>
          <w:sz w:val="22"/>
          <w:szCs w:val="22"/>
        </w:rPr>
        <w:t xml:space="preserve">period </w:t>
      </w:r>
      <w:r>
        <w:rPr>
          <w:sz w:val="22"/>
          <w:szCs w:val="22"/>
        </w:rPr>
        <w:t>scheduled</w:t>
      </w:r>
      <w:r w:rsidRPr="002B370E">
        <w:rPr>
          <w:sz w:val="22"/>
          <w:szCs w:val="22"/>
        </w:rPr>
        <w:t xml:space="preserve"> for his/her input </w:t>
      </w:r>
      <w:r>
        <w:rPr>
          <w:sz w:val="22"/>
          <w:szCs w:val="22"/>
        </w:rPr>
        <w:t>to</w:t>
      </w:r>
      <w:r w:rsidRPr="002B370E">
        <w:rPr>
          <w:sz w:val="22"/>
          <w:szCs w:val="22"/>
        </w:rPr>
        <w:t xml:space="preserve"> implement the tasks </w:t>
      </w:r>
      <w:r>
        <w:rPr>
          <w:sz w:val="22"/>
          <w:szCs w:val="22"/>
        </w:rPr>
        <w:t>set out</w:t>
      </w:r>
      <w:r w:rsidRPr="002B370E">
        <w:rPr>
          <w:sz w:val="22"/>
          <w:szCs w:val="22"/>
        </w:rPr>
        <w:t xml:space="preserve"> in the Terms of </w:t>
      </w:r>
      <w:r>
        <w:rPr>
          <w:sz w:val="22"/>
          <w:szCs w:val="22"/>
        </w:rPr>
        <w:t>R</w:t>
      </w:r>
      <w:r w:rsidRPr="002B370E">
        <w:rPr>
          <w:sz w:val="22"/>
          <w:szCs w:val="22"/>
        </w:rPr>
        <w:t xml:space="preserve">eference and/or in the </w:t>
      </w:r>
      <w:r w:rsidR="007B39E9" w:rsidRPr="002B370E">
        <w:rPr>
          <w:sz w:val="22"/>
          <w:szCs w:val="22"/>
        </w:rPr>
        <w:t>Organization</w:t>
      </w:r>
      <w:r w:rsidRPr="002B370E">
        <w:rPr>
          <w:sz w:val="22"/>
          <w:szCs w:val="22"/>
        </w:rPr>
        <w:t xml:space="preserve"> and methodology.</w:t>
      </w:r>
    </w:p>
    <w:p w14:paraId="505C5E94" w14:textId="77777777" w:rsidR="003436FE" w:rsidRPr="002B370E" w:rsidRDefault="003436FE" w:rsidP="003436FE">
      <w:pPr>
        <w:pStyle w:val="BodyText2"/>
        <w:tabs>
          <w:tab w:val="clear" w:pos="567"/>
        </w:tabs>
        <w:spacing w:before="120" w:after="120"/>
        <w:ind w:left="851"/>
        <w:rPr>
          <w:sz w:val="22"/>
          <w:szCs w:val="22"/>
        </w:rPr>
      </w:pPr>
      <w:r w:rsidRPr="002B370E">
        <w:rPr>
          <w:sz w:val="22"/>
          <w:szCs w:val="22"/>
        </w:rPr>
        <w:t>Note that non-key experts must not be asked to sign statements of exclusivity and availability.</w:t>
      </w:r>
    </w:p>
    <w:p w14:paraId="5ECF5C1B" w14:textId="77777777" w:rsidR="003436FE" w:rsidRPr="002B370E" w:rsidRDefault="003436FE" w:rsidP="003436FE">
      <w:pPr>
        <w:pStyle w:val="BodyText2"/>
        <w:tabs>
          <w:tab w:val="clear" w:pos="567"/>
        </w:tabs>
        <w:spacing w:before="120" w:after="120"/>
        <w:ind w:left="851"/>
        <w:rPr>
          <w:sz w:val="22"/>
          <w:szCs w:val="22"/>
        </w:rPr>
      </w:pPr>
      <w:r w:rsidRPr="002B370E">
        <w:rPr>
          <w:sz w:val="22"/>
          <w:szCs w:val="22"/>
        </w:rPr>
        <w:t xml:space="preserve">Any expert </w:t>
      </w:r>
      <w:r>
        <w:rPr>
          <w:sz w:val="22"/>
          <w:szCs w:val="22"/>
        </w:rPr>
        <w:t xml:space="preserve">working on </w:t>
      </w:r>
      <w:r w:rsidRPr="002B370E">
        <w:rPr>
          <w:sz w:val="22"/>
          <w:szCs w:val="22"/>
        </w:rPr>
        <w:t xml:space="preserve">an EU/EDF-financed project, where the input from his/her position </w:t>
      </w:r>
      <w:r>
        <w:rPr>
          <w:sz w:val="22"/>
          <w:szCs w:val="22"/>
        </w:rPr>
        <w:t>to</w:t>
      </w:r>
      <w:r w:rsidRPr="002B370E">
        <w:rPr>
          <w:sz w:val="22"/>
          <w:szCs w:val="22"/>
        </w:rPr>
        <w:t xml:space="preserve"> that contract could be required on the same dates as his/her activities under this contract</w:t>
      </w:r>
      <w:r>
        <w:rPr>
          <w:sz w:val="22"/>
          <w:szCs w:val="22"/>
        </w:rPr>
        <w:t>,</w:t>
      </w:r>
      <w:r w:rsidRPr="002B370E">
        <w:rPr>
          <w:sz w:val="22"/>
          <w:szCs w:val="22"/>
        </w:rPr>
        <w:t xml:space="preserve"> must not be proposed as a key expert for this contract under any circumstances. Consequently, the dates included by a key expert in his/her statement of exclusivity and availability in your tender must not overlap with dates on which he/she is committed to work as </w:t>
      </w:r>
      <w:r>
        <w:rPr>
          <w:sz w:val="22"/>
          <w:szCs w:val="22"/>
        </w:rPr>
        <w:t xml:space="preserve">a </w:t>
      </w:r>
      <w:r w:rsidRPr="002B370E">
        <w:rPr>
          <w:sz w:val="22"/>
          <w:szCs w:val="22"/>
        </w:rPr>
        <w:t>key expert on any other contract.</w:t>
      </w:r>
    </w:p>
    <w:p w14:paraId="518BC0C5" w14:textId="77777777" w:rsidR="003436FE" w:rsidRPr="002B370E" w:rsidRDefault="003436FE" w:rsidP="003436FE">
      <w:pPr>
        <w:pStyle w:val="BodyText2"/>
        <w:tabs>
          <w:tab w:val="clear" w:pos="567"/>
        </w:tabs>
        <w:spacing w:before="120" w:after="120"/>
        <w:ind w:left="851"/>
        <w:rPr>
          <w:sz w:val="22"/>
          <w:szCs w:val="22"/>
        </w:rPr>
      </w:pPr>
      <w:r w:rsidRPr="002B370E">
        <w:rPr>
          <w:sz w:val="22"/>
          <w:szCs w:val="22"/>
        </w:rPr>
        <w:t>The expert may participate in parallel tender procedures but must inform the Contracting Authority of these in the Statement of Exclusivity and Availability. Furthermore</w:t>
      </w:r>
      <w:r>
        <w:rPr>
          <w:sz w:val="22"/>
          <w:szCs w:val="22"/>
        </w:rPr>
        <w:t>,</w:t>
      </w:r>
      <w:r w:rsidRPr="002B370E">
        <w:rPr>
          <w:sz w:val="22"/>
          <w:szCs w:val="22"/>
        </w:rPr>
        <w:t xml:space="preserve"> the expert </w:t>
      </w:r>
      <w:r w:rsidR="00495144">
        <w:rPr>
          <w:sz w:val="22"/>
          <w:szCs w:val="22"/>
        </w:rPr>
        <w:t>is expected to</w:t>
      </w:r>
      <w:r w:rsidR="00495144" w:rsidRPr="002B370E" w:rsidDel="00495144">
        <w:rPr>
          <w:sz w:val="22"/>
          <w:szCs w:val="22"/>
        </w:rPr>
        <w:t xml:space="preserve"> </w:t>
      </w:r>
      <w:r w:rsidRPr="002B370E">
        <w:rPr>
          <w:sz w:val="22"/>
          <w:szCs w:val="22"/>
        </w:rPr>
        <w:t xml:space="preserve">notify the tenderer immediately if he/she </w:t>
      </w:r>
      <w:r>
        <w:rPr>
          <w:sz w:val="22"/>
          <w:szCs w:val="22"/>
        </w:rPr>
        <w:t>is</w:t>
      </w:r>
      <w:r w:rsidRPr="002B370E">
        <w:rPr>
          <w:sz w:val="22"/>
          <w:szCs w:val="22"/>
        </w:rPr>
        <w:t xml:space="preserve"> successful in another tender procedure and he/she </w:t>
      </w:r>
      <w:r w:rsidR="00495144">
        <w:rPr>
          <w:sz w:val="22"/>
          <w:szCs w:val="22"/>
        </w:rPr>
        <w:t>is expected to</w:t>
      </w:r>
      <w:r w:rsidRPr="002B370E">
        <w:rPr>
          <w:sz w:val="22"/>
          <w:szCs w:val="22"/>
        </w:rPr>
        <w:t xml:space="preserve"> accept the first engagement offered to him/her chronologically.</w:t>
      </w:r>
    </w:p>
    <w:p w14:paraId="06D7CA81" w14:textId="77777777" w:rsidR="003436FE" w:rsidRPr="002B370E" w:rsidRDefault="003436FE" w:rsidP="003436FE">
      <w:pPr>
        <w:pStyle w:val="BodyText2"/>
        <w:tabs>
          <w:tab w:val="clear" w:pos="567"/>
        </w:tabs>
        <w:spacing w:before="120" w:after="120"/>
        <w:ind w:left="851"/>
        <w:rPr>
          <w:sz w:val="22"/>
          <w:szCs w:val="22"/>
        </w:rPr>
      </w:pPr>
      <w:r w:rsidRPr="002B370E">
        <w:rPr>
          <w:sz w:val="22"/>
          <w:szCs w:val="22"/>
        </w:rPr>
        <w:t xml:space="preserve">If a key expert </w:t>
      </w:r>
      <w:r>
        <w:rPr>
          <w:sz w:val="22"/>
          <w:szCs w:val="22"/>
        </w:rPr>
        <w:t>is</w:t>
      </w:r>
      <w:r w:rsidRPr="002B370E">
        <w:rPr>
          <w:sz w:val="22"/>
          <w:szCs w:val="22"/>
        </w:rPr>
        <w:t xml:space="preserve"> proposed as </w:t>
      </w:r>
      <w:r>
        <w:rPr>
          <w:sz w:val="22"/>
          <w:szCs w:val="22"/>
        </w:rPr>
        <w:t xml:space="preserve">a </w:t>
      </w:r>
      <w:r w:rsidRPr="002B370E">
        <w:rPr>
          <w:sz w:val="22"/>
          <w:szCs w:val="22"/>
        </w:rPr>
        <w:t>key expert by more than one tenderer with the agreement of the key expert, the corresponding tenders may be rejected. The same applies if the key expert proposed has been involved in the preparation of the project. The expert concerned will be excluded from this tender procedure and may also be exclu</w:t>
      </w:r>
      <w:r>
        <w:rPr>
          <w:sz w:val="22"/>
          <w:szCs w:val="22"/>
        </w:rPr>
        <w:t>ded</w:t>
      </w:r>
      <w:r w:rsidRPr="002B370E">
        <w:rPr>
          <w:sz w:val="22"/>
          <w:szCs w:val="22"/>
        </w:rPr>
        <w:t xml:space="preserve"> from other EU/EDF-financed contracts.</w:t>
      </w:r>
    </w:p>
    <w:p w14:paraId="6566614F" w14:textId="77777777" w:rsidR="003436FE" w:rsidRPr="002B370E" w:rsidRDefault="003436FE" w:rsidP="003436FE">
      <w:pPr>
        <w:pStyle w:val="BodyText2"/>
        <w:widowControl w:val="0"/>
        <w:tabs>
          <w:tab w:val="clear" w:pos="567"/>
        </w:tabs>
        <w:spacing w:before="120" w:after="120"/>
        <w:ind w:left="851"/>
        <w:rPr>
          <w:sz w:val="22"/>
          <w:szCs w:val="22"/>
        </w:rPr>
      </w:pPr>
      <w:r w:rsidRPr="002B370E">
        <w:rPr>
          <w:sz w:val="22"/>
          <w:szCs w:val="22"/>
        </w:rPr>
        <w:t xml:space="preserve">Having selected a firm partly on the basis of an evaluation of the key experts presented in the tender, the Contracting Authority expects the contract to be executed by these specific experts. </w:t>
      </w:r>
      <w:r w:rsidR="006F5D6C">
        <w:rPr>
          <w:sz w:val="22"/>
          <w:szCs w:val="22"/>
        </w:rPr>
        <w:t>However, a</w:t>
      </w:r>
      <w:r w:rsidRPr="002B370E">
        <w:rPr>
          <w:sz w:val="22"/>
          <w:szCs w:val="22"/>
        </w:rPr>
        <w:t xml:space="preserve">fter the </w:t>
      </w:r>
      <w:r w:rsidR="006F5D6C">
        <w:rPr>
          <w:sz w:val="22"/>
          <w:szCs w:val="22"/>
        </w:rPr>
        <w:t>award</w:t>
      </w:r>
      <w:r w:rsidRPr="002B370E">
        <w:rPr>
          <w:sz w:val="22"/>
          <w:szCs w:val="22"/>
        </w:rPr>
        <w:t xml:space="preserve"> </w:t>
      </w:r>
      <w:r w:rsidR="008531BA">
        <w:rPr>
          <w:sz w:val="22"/>
          <w:szCs w:val="22"/>
        </w:rPr>
        <w:t xml:space="preserve">letter, </w:t>
      </w:r>
      <w:r w:rsidRPr="002B370E">
        <w:rPr>
          <w:sz w:val="22"/>
          <w:szCs w:val="22"/>
        </w:rPr>
        <w:t xml:space="preserve">the </w:t>
      </w:r>
      <w:r w:rsidR="003121C6">
        <w:rPr>
          <w:sz w:val="22"/>
          <w:szCs w:val="22"/>
        </w:rPr>
        <w:t xml:space="preserve">selected </w:t>
      </w:r>
      <w:r w:rsidRPr="002B370E">
        <w:rPr>
          <w:sz w:val="22"/>
          <w:szCs w:val="22"/>
        </w:rPr>
        <w:t>tenderer may propose replacement</w:t>
      </w:r>
      <w:r w:rsidR="003121C6">
        <w:rPr>
          <w:sz w:val="22"/>
          <w:szCs w:val="22"/>
        </w:rPr>
        <w:t>s</w:t>
      </w:r>
      <w:r w:rsidRPr="002B370E">
        <w:rPr>
          <w:sz w:val="22"/>
          <w:szCs w:val="22"/>
        </w:rPr>
        <w:t xml:space="preserve"> </w:t>
      </w:r>
      <w:r w:rsidR="003121C6">
        <w:rPr>
          <w:sz w:val="22"/>
          <w:szCs w:val="22"/>
        </w:rPr>
        <w:t>for the key experts under certain conditions (for further information see point 14).</w:t>
      </w:r>
    </w:p>
    <w:p w14:paraId="50523426" w14:textId="77777777" w:rsidR="003436FE" w:rsidRPr="002B370E" w:rsidRDefault="003436FE" w:rsidP="003436FE">
      <w:pPr>
        <w:pStyle w:val="BodyText2"/>
        <w:widowControl w:val="0"/>
        <w:tabs>
          <w:tab w:val="clear" w:pos="567"/>
        </w:tabs>
        <w:spacing w:before="120" w:after="120"/>
        <w:ind w:left="851"/>
        <w:rPr>
          <w:sz w:val="22"/>
          <w:szCs w:val="22"/>
        </w:rPr>
      </w:pPr>
      <w:r w:rsidRPr="002B370E">
        <w:rPr>
          <w:sz w:val="22"/>
          <w:szCs w:val="22"/>
        </w:rPr>
        <w:t>The contract between the tenderer/</w:t>
      </w:r>
      <w:r w:rsidR="0004095E">
        <w:rPr>
          <w:sz w:val="22"/>
          <w:szCs w:val="22"/>
        </w:rPr>
        <w:t>contractor</w:t>
      </w:r>
      <w:r w:rsidRPr="002B370E">
        <w:rPr>
          <w:sz w:val="22"/>
          <w:szCs w:val="22"/>
        </w:rPr>
        <w:t xml:space="preserve"> and its key experts shall contain a provision that it is subject to the approval of the beneficiary country.</w:t>
      </w:r>
    </w:p>
    <w:p w14:paraId="332A0317" w14:textId="77777777" w:rsidR="003436FE" w:rsidRPr="002B370E" w:rsidRDefault="003436FE" w:rsidP="003436FE">
      <w:pPr>
        <w:numPr>
          <w:ilvl w:val="0"/>
          <w:numId w:val="27"/>
        </w:numPr>
        <w:tabs>
          <w:tab w:val="clear" w:pos="360"/>
          <w:tab w:val="num" w:pos="927"/>
        </w:tabs>
        <w:spacing w:before="120" w:after="120"/>
        <w:ind w:left="927"/>
        <w:jc w:val="both"/>
        <w:rPr>
          <w:sz w:val="22"/>
          <w:szCs w:val="22"/>
        </w:rPr>
      </w:pPr>
      <w:r w:rsidRPr="002B370E">
        <w:rPr>
          <w:sz w:val="22"/>
          <w:szCs w:val="22"/>
        </w:rPr>
        <w:t>A signed</w:t>
      </w:r>
      <w:r w:rsidRPr="002B370E">
        <w:rPr>
          <w:b/>
          <w:sz w:val="22"/>
          <w:szCs w:val="22"/>
        </w:rPr>
        <w:t xml:space="preserve"> declaration</w:t>
      </w:r>
      <w:r w:rsidRPr="002B370E">
        <w:rPr>
          <w:sz w:val="22"/>
          <w:szCs w:val="22"/>
        </w:rPr>
        <w:t xml:space="preserve"> from each legal entity identified in the tender submission form, using the format attached to the tender submission form</w:t>
      </w:r>
      <w:r>
        <w:rPr>
          <w:sz w:val="22"/>
          <w:szCs w:val="22"/>
        </w:rPr>
        <w:t>.</w:t>
      </w:r>
    </w:p>
    <w:p w14:paraId="72D8197D" w14:textId="77777777" w:rsidR="003436FE" w:rsidRPr="002B370E" w:rsidRDefault="003436FE" w:rsidP="003436FE">
      <w:pPr>
        <w:numPr>
          <w:ilvl w:val="0"/>
          <w:numId w:val="27"/>
        </w:numPr>
        <w:tabs>
          <w:tab w:val="clear" w:pos="360"/>
          <w:tab w:val="num" w:pos="927"/>
        </w:tabs>
        <w:spacing w:before="120" w:after="120"/>
        <w:ind w:left="927"/>
        <w:jc w:val="both"/>
        <w:rPr>
          <w:sz w:val="22"/>
          <w:szCs w:val="22"/>
        </w:rPr>
      </w:pPr>
      <w:r w:rsidRPr="002B370E">
        <w:rPr>
          <w:sz w:val="22"/>
          <w:szCs w:val="22"/>
        </w:rPr>
        <w:t>A completed</w:t>
      </w:r>
      <w:r w:rsidRPr="002B370E">
        <w:rPr>
          <w:b/>
          <w:sz w:val="22"/>
          <w:szCs w:val="22"/>
        </w:rPr>
        <w:t xml:space="preserve"> Financial Identification form</w:t>
      </w:r>
      <w:r w:rsidRPr="002B370E">
        <w:rPr>
          <w:sz w:val="22"/>
          <w:szCs w:val="22"/>
        </w:rPr>
        <w:t xml:space="preserve"> (see Annex VI </w:t>
      </w:r>
      <w:r>
        <w:rPr>
          <w:sz w:val="22"/>
          <w:szCs w:val="22"/>
        </w:rPr>
        <w:t>t</w:t>
      </w:r>
      <w:r w:rsidRPr="002B370E">
        <w:rPr>
          <w:sz w:val="22"/>
          <w:szCs w:val="22"/>
        </w:rPr>
        <w:t xml:space="preserve">o the draft contract) to </w:t>
      </w:r>
      <w:r>
        <w:rPr>
          <w:sz w:val="22"/>
          <w:szCs w:val="22"/>
        </w:rPr>
        <w:t>indicate</w:t>
      </w:r>
      <w:r w:rsidRPr="002B370E">
        <w:rPr>
          <w:sz w:val="22"/>
          <w:szCs w:val="22"/>
        </w:rPr>
        <w:t xml:space="preserve"> the bank account into which payments </w:t>
      </w:r>
      <w:r>
        <w:rPr>
          <w:sz w:val="22"/>
          <w:szCs w:val="22"/>
        </w:rPr>
        <w:t>sh</w:t>
      </w:r>
      <w:r w:rsidRPr="002B370E">
        <w:rPr>
          <w:sz w:val="22"/>
          <w:szCs w:val="22"/>
        </w:rPr>
        <w:t>ould be made i</w:t>
      </w:r>
      <w:r>
        <w:rPr>
          <w:sz w:val="22"/>
          <w:szCs w:val="22"/>
        </w:rPr>
        <w:t xml:space="preserve">f </w:t>
      </w:r>
      <w:r w:rsidRPr="002B370E">
        <w:rPr>
          <w:sz w:val="22"/>
          <w:szCs w:val="22"/>
        </w:rPr>
        <w:t>the tender is successful. (</w:t>
      </w:r>
      <w:r>
        <w:rPr>
          <w:sz w:val="22"/>
          <w:szCs w:val="22"/>
        </w:rPr>
        <w:t>If</w:t>
      </w:r>
      <w:r w:rsidRPr="002B370E">
        <w:rPr>
          <w:sz w:val="22"/>
          <w:szCs w:val="22"/>
        </w:rPr>
        <w:t xml:space="preserve"> the tenderer has already signed another contract with the European Commission, it may provide instead either its financial identification form number or a copy of the financial identification form provided on that occasion, unless </w:t>
      </w:r>
      <w:r>
        <w:rPr>
          <w:sz w:val="22"/>
          <w:szCs w:val="22"/>
        </w:rPr>
        <w:t xml:space="preserve">it has </w:t>
      </w:r>
      <w:r w:rsidRPr="002B370E">
        <w:rPr>
          <w:sz w:val="22"/>
          <w:szCs w:val="22"/>
        </w:rPr>
        <w:t>change</w:t>
      </w:r>
      <w:r>
        <w:rPr>
          <w:sz w:val="22"/>
          <w:szCs w:val="22"/>
        </w:rPr>
        <w:t>d</w:t>
      </w:r>
      <w:r w:rsidRPr="002B370E">
        <w:rPr>
          <w:sz w:val="22"/>
          <w:szCs w:val="22"/>
        </w:rPr>
        <w:t xml:space="preserve"> in the meantime)</w:t>
      </w:r>
      <w:r>
        <w:rPr>
          <w:sz w:val="22"/>
          <w:szCs w:val="22"/>
        </w:rPr>
        <w:t>.</w:t>
      </w:r>
    </w:p>
    <w:p w14:paraId="6896BBB1" w14:textId="77777777" w:rsidR="003436FE" w:rsidRPr="002B370E" w:rsidRDefault="003436FE" w:rsidP="003436FE">
      <w:pPr>
        <w:numPr>
          <w:ilvl w:val="0"/>
          <w:numId w:val="27"/>
        </w:numPr>
        <w:tabs>
          <w:tab w:val="clear" w:pos="360"/>
          <w:tab w:val="num" w:pos="927"/>
        </w:tabs>
        <w:spacing w:before="120" w:after="120"/>
        <w:ind w:left="927"/>
        <w:jc w:val="both"/>
        <w:rPr>
          <w:sz w:val="22"/>
          <w:szCs w:val="22"/>
        </w:rPr>
      </w:pPr>
      <w:r w:rsidRPr="002B370E">
        <w:rPr>
          <w:sz w:val="22"/>
          <w:szCs w:val="22"/>
        </w:rPr>
        <w:t xml:space="preserve">The </w:t>
      </w:r>
      <w:r w:rsidRPr="002B370E">
        <w:rPr>
          <w:b/>
          <w:sz w:val="22"/>
          <w:szCs w:val="22"/>
        </w:rPr>
        <w:t>legal entity file</w:t>
      </w:r>
      <w:r w:rsidRPr="002B370E">
        <w:rPr>
          <w:sz w:val="22"/>
          <w:szCs w:val="22"/>
        </w:rPr>
        <w:t xml:space="preserve"> and supporting documents (</w:t>
      </w:r>
      <w:r>
        <w:rPr>
          <w:sz w:val="22"/>
          <w:szCs w:val="22"/>
        </w:rPr>
        <w:t>if</w:t>
      </w:r>
      <w:r w:rsidRPr="002B370E">
        <w:rPr>
          <w:sz w:val="22"/>
          <w:szCs w:val="22"/>
        </w:rPr>
        <w:t xml:space="preserve"> the tenderer has already signed another contract with the European Commission, it may provide instead either its legal entity number or a copy of the legal entity file provided on that occasion, unless </w:t>
      </w:r>
      <w:r>
        <w:rPr>
          <w:sz w:val="22"/>
          <w:szCs w:val="22"/>
        </w:rPr>
        <w:t>it has</w:t>
      </w:r>
      <w:r w:rsidRPr="002B370E">
        <w:rPr>
          <w:sz w:val="22"/>
          <w:szCs w:val="22"/>
        </w:rPr>
        <w:t xml:space="preserve"> change</w:t>
      </w:r>
      <w:r>
        <w:rPr>
          <w:sz w:val="22"/>
          <w:szCs w:val="22"/>
        </w:rPr>
        <w:t>d</w:t>
      </w:r>
      <w:r w:rsidRPr="002B370E">
        <w:rPr>
          <w:sz w:val="22"/>
          <w:szCs w:val="22"/>
        </w:rPr>
        <w:t xml:space="preserve"> its legal status in the meantime)</w:t>
      </w:r>
      <w:r>
        <w:rPr>
          <w:sz w:val="22"/>
          <w:szCs w:val="22"/>
        </w:rPr>
        <w:t>.</w:t>
      </w:r>
    </w:p>
    <w:p w14:paraId="6C1112CF" w14:textId="77777777" w:rsidR="003436FE" w:rsidRPr="002B370E" w:rsidRDefault="003436FE" w:rsidP="003436FE">
      <w:pPr>
        <w:numPr>
          <w:ilvl w:val="0"/>
          <w:numId w:val="27"/>
        </w:numPr>
        <w:tabs>
          <w:tab w:val="clear" w:pos="360"/>
          <w:tab w:val="num" w:pos="927"/>
        </w:tabs>
        <w:spacing w:before="120" w:after="120"/>
        <w:ind w:left="927"/>
        <w:jc w:val="both"/>
        <w:rPr>
          <w:sz w:val="22"/>
          <w:szCs w:val="22"/>
        </w:rPr>
      </w:pPr>
      <w:r w:rsidRPr="002B370E">
        <w:rPr>
          <w:sz w:val="22"/>
          <w:szCs w:val="22"/>
        </w:rPr>
        <w:t xml:space="preserve">Duly </w:t>
      </w:r>
      <w:r w:rsidR="00605338" w:rsidRPr="002B370E">
        <w:rPr>
          <w:sz w:val="22"/>
          <w:szCs w:val="22"/>
        </w:rPr>
        <w:t>authorized</w:t>
      </w:r>
      <w:r w:rsidRPr="002B370E">
        <w:rPr>
          <w:sz w:val="22"/>
          <w:szCs w:val="22"/>
        </w:rPr>
        <w:t xml:space="preserve"> signature: an official document (statutes, power of attorney, notary statement, etc.) proving that the person who signs on behalf of the company/joint venture/consortium is duly </w:t>
      </w:r>
      <w:r w:rsidR="00605338" w:rsidRPr="002B370E">
        <w:rPr>
          <w:sz w:val="22"/>
          <w:szCs w:val="22"/>
        </w:rPr>
        <w:t>authorized</w:t>
      </w:r>
      <w:r w:rsidRPr="002B370E">
        <w:rPr>
          <w:sz w:val="22"/>
          <w:szCs w:val="22"/>
        </w:rPr>
        <w:t xml:space="preserve"> to do so. </w:t>
      </w:r>
    </w:p>
    <w:p w14:paraId="6D83B2E6" w14:textId="77777777" w:rsidR="003436FE" w:rsidRDefault="00333459" w:rsidP="003436FE">
      <w:pPr>
        <w:numPr>
          <w:ilvl w:val="0"/>
          <w:numId w:val="20"/>
        </w:numPr>
        <w:tabs>
          <w:tab w:val="num" w:pos="567"/>
        </w:tabs>
        <w:spacing w:before="120" w:after="120"/>
        <w:ind w:left="567" w:hanging="567"/>
        <w:jc w:val="both"/>
        <w:rPr>
          <w:sz w:val="22"/>
          <w:szCs w:val="22"/>
        </w:rPr>
      </w:pPr>
      <w:r w:rsidRPr="002B370E">
        <w:rPr>
          <w:b/>
          <w:sz w:val="22"/>
          <w:szCs w:val="22"/>
        </w:rPr>
        <w:lastRenderedPageBreak/>
        <w:t>Organization</w:t>
      </w:r>
      <w:r w:rsidR="003436FE" w:rsidRPr="002B370E">
        <w:rPr>
          <w:b/>
          <w:sz w:val="22"/>
          <w:szCs w:val="22"/>
        </w:rPr>
        <w:t xml:space="preserve"> and methodology</w:t>
      </w:r>
      <w:r w:rsidR="003436FE" w:rsidRPr="002B370E">
        <w:rPr>
          <w:sz w:val="22"/>
          <w:szCs w:val="22"/>
        </w:rPr>
        <w:t xml:space="preserve"> (will become Annex III </w:t>
      </w:r>
      <w:r w:rsidR="003436FE">
        <w:rPr>
          <w:sz w:val="22"/>
          <w:szCs w:val="22"/>
        </w:rPr>
        <w:t>t</w:t>
      </w:r>
      <w:r w:rsidR="003436FE" w:rsidRPr="002B370E">
        <w:rPr>
          <w:sz w:val="22"/>
          <w:szCs w:val="22"/>
        </w:rPr>
        <w:t xml:space="preserve">o the contract), to be drawn up by the tenderer using the format in Annex III </w:t>
      </w:r>
      <w:r w:rsidR="003436FE">
        <w:rPr>
          <w:sz w:val="22"/>
          <w:szCs w:val="22"/>
        </w:rPr>
        <w:t>t</w:t>
      </w:r>
      <w:r w:rsidR="003436FE" w:rsidRPr="002B370E">
        <w:rPr>
          <w:sz w:val="22"/>
          <w:szCs w:val="22"/>
        </w:rPr>
        <w:t>o the draft contract.</w:t>
      </w:r>
    </w:p>
    <w:p w14:paraId="2392A733" w14:textId="77777777" w:rsidR="001727ED" w:rsidRDefault="003436FE" w:rsidP="001727ED">
      <w:pPr>
        <w:numPr>
          <w:ilvl w:val="0"/>
          <w:numId w:val="20"/>
        </w:numPr>
        <w:tabs>
          <w:tab w:val="num" w:pos="567"/>
        </w:tabs>
        <w:spacing w:before="120" w:after="120"/>
        <w:ind w:left="567" w:hanging="567"/>
        <w:jc w:val="both"/>
        <w:rPr>
          <w:sz w:val="22"/>
          <w:szCs w:val="22"/>
        </w:rPr>
      </w:pPr>
      <w:r w:rsidRPr="001727ED">
        <w:rPr>
          <w:b/>
          <w:sz w:val="22"/>
          <w:szCs w:val="22"/>
        </w:rPr>
        <w:t>Key experts</w:t>
      </w:r>
      <w:r w:rsidRPr="001727ED">
        <w:rPr>
          <w:sz w:val="22"/>
          <w:szCs w:val="22"/>
        </w:rPr>
        <w:t xml:space="preserve"> (to become Annex IV to the contract). The key experts are those whose involvement is considered to be instrumental to achieve the contract objectives. Their positions and responsibilities are defined in Section 6</w:t>
      </w:r>
      <w:r w:rsidR="00396D4A" w:rsidRPr="001727ED">
        <w:rPr>
          <w:sz w:val="22"/>
          <w:szCs w:val="22"/>
        </w:rPr>
        <w:t>.</w:t>
      </w:r>
      <w:r w:rsidR="001727ED" w:rsidRPr="001727ED">
        <w:rPr>
          <w:sz w:val="22"/>
          <w:szCs w:val="22"/>
        </w:rPr>
        <w:t>2</w:t>
      </w:r>
      <w:r w:rsidRPr="001727ED">
        <w:rPr>
          <w:sz w:val="22"/>
          <w:szCs w:val="22"/>
        </w:rPr>
        <w:t xml:space="preserve"> of the Terms of Reference in Annex II to the draft contract and they are subject to evaluation according to the evaluation grid in Part C of this tender dossier. </w:t>
      </w:r>
    </w:p>
    <w:p w14:paraId="2D5BD8EE" w14:textId="77777777" w:rsidR="003436FE" w:rsidRPr="001727ED" w:rsidRDefault="003436FE" w:rsidP="001727ED">
      <w:pPr>
        <w:spacing w:before="120" w:after="120"/>
        <w:ind w:left="567"/>
        <w:jc w:val="both"/>
        <w:rPr>
          <w:sz w:val="22"/>
          <w:szCs w:val="22"/>
        </w:rPr>
      </w:pPr>
      <w:r w:rsidRPr="001727ED">
        <w:rPr>
          <w:sz w:val="22"/>
          <w:szCs w:val="22"/>
        </w:rPr>
        <w:t>Annex IV to the draft contract contains the templates that tenderers must use, including:</w:t>
      </w:r>
    </w:p>
    <w:p w14:paraId="294A798A" w14:textId="77777777" w:rsidR="003436FE" w:rsidRPr="002B370E" w:rsidRDefault="003436FE" w:rsidP="003436FE">
      <w:pPr>
        <w:numPr>
          <w:ilvl w:val="0"/>
          <w:numId w:val="4"/>
        </w:numPr>
        <w:tabs>
          <w:tab w:val="clear" w:pos="360"/>
        </w:tabs>
        <w:spacing w:before="120" w:after="120"/>
        <w:ind w:left="993" w:hanging="425"/>
        <w:jc w:val="both"/>
        <w:rPr>
          <w:sz w:val="22"/>
          <w:szCs w:val="22"/>
        </w:rPr>
      </w:pPr>
      <w:r w:rsidRPr="002B370E">
        <w:rPr>
          <w:sz w:val="22"/>
          <w:szCs w:val="22"/>
        </w:rPr>
        <w:t>a list of the names of the key experts;</w:t>
      </w:r>
    </w:p>
    <w:p w14:paraId="3E380285" w14:textId="77777777" w:rsidR="003436FE" w:rsidRPr="002B370E" w:rsidRDefault="00126F3A" w:rsidP="003436FE">
      <w:pPr>
        <w:numPr>
          <w:ilvl w:val="0"/>
          <w:numId w:val="4"/>
        </w:numPr>
        <w:tabs>
          <w:tab w:val="clear" w:pos="360"/>
        </w:tabs>
        <w:spacing w:before="120" w:after="120"/>
        <w:ind w:left="993" w:hanging="425"/>
        <w:jc w:val="both"/>
        <w:rPr>
          <w:sz w:val="22"/>
          <w:szCs w:val="22"/>
        </w:rPr>
      </w:pPr>
      <w:r w:rsidRPr="002B370E">
        <w:rPr>
          <w:sz w:val="22"/>
          <w:szCs w:val="22"/>
        </w:rPr>
        <w:t>The</w:t>
      </w:r>
      <w:r w:rsidR="003436FE" w:rsidRPr="002B370E">
        <w:rPr>
          <w:sz w:val="22"/>
          <w:szCs w:val="22"/>
        </w:rPr>
        <w:t xml:space="preserve"> CVs of each of the key experts.</w:t>
      </w:r>
      <w:r w:rsidR="003436FE" w:rsidRPr="002B370E">
        <w:rPr>
          <w:b/>
          <w:sz w:val="22"/>
          <w:szCs w:val="22"/>
        </w:rPr>
        <w:t xml:space="preserve"> </w:t>
      </w:r>
      <w:r w:rsidR="003436FE" w:rsidRPr="002B370E">
        <w:rPr>
          <w:sz w:val="22"/>
          <w:szCs w:val="22"/>
        </w:rPr>
        <w:t xml:space="preserve">Each CV must be </w:t>
      </w:r>
      <w:r w:rsidR="003436FE">
        <w:rPr>
          <w:sz w:val="22"/>
          <w:szCs w:val="22"/>
        </w:rPr>
        <w:t>no longer than</w:t>
      </w:r>
      <w:r w:rsidR="003436FE" w:rsidRPr="002B370E">
        <w:rPr>
          <w:sz w:val="22"/>
          <w:szCs w:val="22"/>
        </w:rPr>
        <w:t xml:space="preserve"> 3 pages and only one CV should be provided for each position identified in the Terms of Reference. Note that the CVs of non-key experts must not be submitted.</w:t>
      </w:r>
    </w:p>
    <w:p w14:paraId="6C8F8EDB" w14:textId="77777777" w:rsidR="003436FE" w:rsidRPr="002B370E" w:rsidRDefault="003436FE" w:rsidP="00632671">
      <w:pPr>
        <w:spacing w:before="120" w:after="120"/>
        <w:ind w:left="567"/>
        <w:jc w:val="both"/>
        <w:rPr>
          <w:sz w:val="22"/>
          <w:szCs w:val="22"/>
        </w:rPr>
      </w:pPr>
      <w:r w:rsidRPr="002B370E">
        <w:rPr>
          <w:sz w:val="22"/>
          <w:szCs w:val="22"/>
        </w:rPr>
        <w:t xml:space="preserve">The qualifications and experience of each key expert must clearly match the profiles indicated in the Terms of </w:t>
      </w:r>
      <w:r>
        <w:rPr>
          <w:sz w:val="22"/>
          <w:szCs w:val="22"/>
        </w:rPr>
        <w:t>R</w:t>
      </w:r>
      <w:r w:rsidRPr="002B370E">
        <w:rPr>
          <w:sz w:val="22"/>
          <w:szCs w:val="22"/>
        </w:rPr>
        <w:t xml:space="preserve">eference. </w:t>
      </w:r>
    </w:p>
    <w:p w14:paraId="0FD1022B" w14:textId="77777777" w:rsidR="003436FE" w:rsidRPr="001727ED" w:rsidRDefault="00571547" w:rsidP="00571547">
      <w:pPr>
        <w:pStyle w:val="BodyTextIndent"/>
        <w:tabs>
          <w:tab w:val="clear" w:pos="567"/>
        </w:tabs>
        <w:spacing w:before="120"/>
        <w:rPr>
          <w:sz w:val="22"/>
          <w:szCs w:val="22"/>
        </w:rPr>
      </w:pPr>
      <w:r>
        <w:rPr>
          <w:sz w:val="22"/>
          <w:szCs w:val="22"/>
        </w:rPr>
        <w:t>(4)</w:t>
      </w:r>
      <w:r w:rsidR="00014926" w:rsidRPr="001727ED">
        <w:rPr>
          <w:sz w:val="22"/>
          <w:szCs w:val="22"/>
        </w:rPr>
        <w:t xml:space="preserve"> </w:t>
      </w:r>
      <w:r w:rsidR="003436FE" w:rsidRPr="001727ED">
        <w:rPr>
          <w:sz w:val="22"/>
          <w:szCs w:val="22"/>
        </w:rPr>
        <w:t>Tenderers must provide the following documents for any key experts proposed:</w:t>
      </w:r>
    </w:p>
    <w:p w14:paraId="2BCD6D77" w14:textId="77777777" w:rsidR="003436FE" w:rsidRPr="001727ED" w:rsidRDefault="003436FE" w:rsidP="003436FE">
      <w:pPr>
        <w:pStyle w:val="BodyTextIndent"/>
        <w:tabs>
          <w:tab w:val="clear" w:pos="567"/>
        </w:tabs>
        <w:spacing w:before="120"/>
        <w:ind w:left="851" w:hanging="142"/>
        <w:rPr>
          <w:sz w:val="22"/>
          <w:szCs w:val="22"/>
        </w:rPr>
      </w:pPr>
      <w:r w:rsidRPr="001727ED">
        <w:rPr>
          <w:sz w:val="22"/>
          <w:szCs w:val="22"/>
        </w:rPr>
        <w:t>-</w:t>
      </w:r>
      <w:r w:rsidRPr="001727ED">
        <w:rPr>
          <w:sz w:val="22"/>
          <w:szCs w:val="22"/>
        </w:rPr>
        <w:tab/>
        <w:t>a copy of the diplomas mentioned in their CVs,</w:t>
      </w:r>
    </w:p>
    <w:p w14:paraId="279A6FC0" w14:textId="77777777" w:rsidR="003436FE" w:rsidRPr="001727ED" w:rsidRDefault="003436FE" w:rsidP="003436FE">
      <w:pPr>
        <w:pStyle w:val="BodyTextIndent"/>
        <w:tabs>
          <w:tab w:val="clear" w:pos="567"/>
        </w:tabs>
        <w:spacing w:before="120"/>
        <w:ind w:left="851" w:hanging="142"/>
        <w:rPr>
          <w:sz w:val="22"/>
          <w:szCs w:val="22"/>
        </w:rPr>
      </w:pPr>
      <w:r w:rsidRPr="001727ED">
        <w:rPr>
          <w:sz w:val="22"/>
          <w:szCs w:val="22"/>
        </w:rPr>
        <w:t>-</w:t>
      </w:r>
      <w:r w:rsidRPr="001727ED">
        <w:rPr>
          <w:sz w:val="22"/>
          <w:szCs w:val="22"/>
        </w:rPr>
        <w:tab/>
        <w:t xml:space="preserve">a copy of employer certificates or references proving the professional experience indicated in their CVs. </w:t>
      </w:r>
    </w:p>
    <w:p w14:paraId="646C231E" w14:textId="77777777" w:rsidR="003436FE" w:rsidRPr="001727ED" w:rsidRDefault="003436FE" w:rsidP="003436FE">
      <w:pPr>
        <w:pStyle w:val="BodyTextIndent"/>
        <w:tabs>
          <w:tab w:val="clear" w:pos="567"/>
        </w:tabs>
        <w:spacing w:before="120"/>
        <w:ind w:left="709" w:firstLine="0"/>
        <w:rPr>
          <w:sz w:val="22"/>
          <w:szCs w:val="22"/>
        </w:rPr>
      </w:pPr>
      <w:r w:rsidRPr="001727ED">
        <w:rPr>
          <w:sz w:val="22"/>
          <w:szCs w:val="22"/>
        </w:rPr>
        <w:t xml:space="preserve">Only diplomas and documented experience will be taken into account. </w:t>
      </w:r>
    </w:p>
    <w:p w14:paraId="406C2186" w14:textId="77777777" w:rsidR="003436FE" w:rsidRPr="002B370E" w:rsidRDefault="001727ED" w:rsidP="003436FE">
      <w:pPr>
        <w:pStyle w:val="BodyTextIndent"/>
        <w:tabs>
          <w:tab w:val="clear" w:pos="567"/>
        </w:tabs>
        <w:spacing w:before="120"/>
        <w:rPr>
          <w:sz w:val="22"/>
          <w:szCs w:val="22"/>
        </w:rPr>
      </w:pPr>
      <w:r>
        <w:rPr>
          <w:sz w:val="22"/>
          <w:szCs w:val="22"/>
        </w:rPr>
        <w:t xml:space="preserve"> </w:t>
      </w:r>
      <w:r w:rsidR="00010683">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 xml:space="preserve">) is established, to show that it </w:t>
      </w:r>
      <w:r w:rsidR="003436FE">
        <w:rPr>
          <w:sz w:val="22"/>
          <w:szCs w:val="22"/>
        </w:rPr>
        <w:t>is</w:t>
      </w:r>
      <w:r w:rsidR="003436FE" w:rsidRPr="002B370E">
        <w:rPr>
          <w:sz w:val="22"/>
          <w:szCs w:val="22"/>
        </w:rPr>
        <w:t xml:space="preserve"> not in any of the exclusion situations listed in section 2.3.3 of the Practical Guide to contract procedures for EU external action.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1 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72F0F0A8"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 xml:space="preserve">If the nature of your entity is such that it cannot fall into the exclusion situations and/or cannot provide the documents indicated above (for instance, national public administrations and international </w:t>
      </w:r>
      <w:r w:rsidR="00605338" w:rsidRPr="002B370E">
        <w:rPr>
          <w:sz w:val="22"/>
          <w:szCs w:val="22"/>
        </w:rPr>
        <w:t>organizations</w:t>
      </w:r>
      <w:r w:rsidRPr="002B370E">
        <w:rPr>
          <w:sz w:val="22"/>
          <w:szCs w:val="22"/>
        </w:rPr>
        <w:t>), please provide a declaration explaining this situation.</w:t>
      </w:r>
    </w:p>
    <w:p w14:paraId="0AC427F6"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Pr>
          <w:color w:val="000000"/>
          <w:sz w:val="22"/>
          <w:szCs w:val="22"/>
        </w:rPr>
        <w:t>C</w:t>
      </w:r>
      <w:r w:rsidRPr="002B370E">
        <w:rPr>
          <w:color w:val="000000"/>
          <w:sz w:val="22"/>
          <w:szCs w:val="22"/>
        </w:rPr>
        <w:t xml:space="preserve">ontracting </w:t>
      </w:r>
      <w:r>
        <w:rPr>
          <w:color w:val="000000"/>
          <w:sz w:val="22"/>
          <w:szCs w:val="22"/>
        </w:rPr>
        <w:t>A</w:t>
      </w:r>
      <w:r w:rsidRPr="002B370E">
        <w:rPr>
          <w:color w:val="000000"/>
          <w:sz w:val="22"/>
          <w:szCs w:val="22"/>
        </w:rPr>
        <w:t>uthority may waive the obligation of any candidate or tenderer to submit the documentary evidence referred to above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candidate or tenderer </w:t>
      </w:r>
      <w:r>
        <w:rPr>
          <w:color w:val="000000"/>
          <w:sz w:val="22"/>
          <w:szCs w:val="22"/>
        </w:rPr>
        <w:t>must</w:t>
      </w:r>
      <w:r w:rsidRPr="002B370E">
        <w:rPr>
          <w:color w:val="000000"/>
          <w:sz w:val="22"/>
          <w:szCs w:val="22"/>
        </w:rPr>
        <w:t xml:space="preserve"> declare on his/her </w:t>
      </w:r>
      <w:r w:rsidR="00605338" w:rsidRPr="002B370E">
        <w:rPr>
          <w:color w:val="000000"/>
          <w:sz w:val="22"/>
          <w:szCs w:val="22"/>
        </w:rPr>
        <w:t>honor</w:t>
      </w:r>
      <w:r w:rsidRPr="002B370E">
        <w:rPr>
          <w:color w:val="000000"/>
          <w:sz w:val="22"/>
          <w:szCs w:val="22"/>
        </w:rPr>
        <w:t xml:space="preserve">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77FC5A8A" w14:textId="77777777" w:rsidR="003121C6" w:rsidRPr="00571547" w:rsidRDefault="003121C6" w:rsidP="003121C6">
      <w:pPr>
        <w:spacing w:before="120" w:after="120"/>
        <w:ind w:left="567" w:hanging="567"/>
        <w:jc w:val="both"/>
        <w:rPr>
          <w:sz w:val="22"/>
          <w:szCs w:val="22"/>
        </w:rPr>
      </w:pPr>
      <w:r>
        <w:rPr>
          <w:color w:val="000000"/>
          <w:sz w:val="22"/>
          <w:szCs w:val="22"/>
        </w:rPr>
        <w:t>(6)</w:t>
      </w:r>
      <w:r w:rsidR="00010683">
        <w:rPr>
          <w:color w:val="000000"/>
          <w:sz w:val="22"/>
          <w:szCs w:val="22"/>
        </w:rPr>
        <w:tab/>
      </w:r>
      <w:r>
        <w:rPr>
          <w:color w:val="000000"/>
          <w:sz w:val="22"/>
          <w:szCs w:val="22"/>
        </w:rPr>
        <w:t xml:space="preserve">Documentary evidence of the financial and economic capacity as well as the technical and professional capacity according to the selection criteria specified in the procurement notice. </w:t>
      </w:r>
      <w:r w:rsidRPr="00F45E40">
        <w:rPr>
          <w:sz w:val="22"/>
          <w:szCs w:val="22"/>
        </w:rPr>
        <w:t xml:space="preserve"> (s</w:t>
      </w:r>
      <w:r w:rsidRPr="00B21E35">
        <w:rPr>
          <w:sz w:val="22"/>
          <w:szCs w:val="22"/>
        </w:rPr>
        <w:t>ee further point 2.4.11 of the Practical Guide</w:t>
      </w:r>
      <w:r w:rsidRPr="00014926">
        <w:rPr>
          <w:color w:val="FF0000"/>
          <w:sz w:val="22"/>
          <w:szCs w:val="22"/>
        </w:rPr>
        <w:t xml:space="preserve"> </w:t>
      </w:r>
    </w:p>
    <w:p w14:paraId="1A750AC6" w14:textId="77777777" w:rsidR="003121C6" w:rsidRDefault="003121C6" w:rsidP="003436FE">
      <w:pPr>
        <w:spacing w:before="120" w:after="120"/>
        <w:jc w:val="both"/>
        <w:rPr>
          <w:sz w:val="22"/>
          <w:szCs w:val="22"/>
        </w:rPr>
      </w:pPr>
      <w:r w:rsidRPr="00354516">
        <w:rPr>
          <w:sz w:val="22"/>
          <w:szCs w:val="22"/>
          <w:lang w:bidi="kn-IN"/>
        </w:rPr>
        <w:lastRenderedPageBreak/>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proofErr w:type="gramStart"/>
      <w:r w:rsidRPr="00354516">
        <w:rPr>
          <w:sz w:val="22"/>
          <w:szCs w:val="22"/>
          <w:lang w:bidi="kn-IN"/>
        </w:rPr>
        <w:t>procedure</w:t>
      </w:r>
      <w:proofErr w:type="gramEnd"/>
      <w:r w:rsidRPr="00354516">
        <w:rPr>
          <w:sz w:val="22"/>
          <w:szCs w:val="22"/>
          <w:lang w:bidi="kn-IN"/>
        </w:rPr>
        <w:t>,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14:paraId="7ED3B31B"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 their exclusion from EU-funded contracts.</w:t>
      </w:r>
    </w:p>
    <w:p w14:paraId="41C8F396" w14:textId="77777777" w:rsidR="003436FE" w:rsidRPr="002B370E" w:rsidRDefault="003436FE" w:rsidP="003436FE">
      <w:pPr>
        <w:spacing w:before="120" w:after="120"/>
        <w:jc w:val="both"/>
        <w:rPr>
          <w:sz w:val="22"/>
          <w:szCs w:val="22"/>
        </w:rPr>
      </w:pPr>
    </w:p>
    <w:p w14:paraId="79478597" w14:textId="77777777" w:rsidR="00D55C2C" w:rsidRDefault="003436FE" w:rsidP="00D55C2C">
      <w:pPr>
        <w:keepNext/>
        <w:spacing w:before="120" w:after="120"/>
        <w:ind w:left="567" w:hanging="567"/>
        <w:jc w:val="both"/>
        <w:rPr>
          <w:b/>
          <w:sz w:val="22"/>
          <w:szCs w:val="22"/>
        </w:rPr>
      </w:pPr>
      <w:r w:rsidRPr="001727ED">
        <w:rPr>
          <w:b/>
          <w:sz w:val="22"/>
          <w:szCs w:val="22"/>
        </w:rPr>
        <w:t>4.2</w:t>
      </w:r>
      <w:r w:rsidR="00010683" w:rsidRPr="001727ED">
        <w:rPr>
          <w:b/>
          <w:sz w:val="22"/>
          <w:szCs w:val="22"/>
        </w:rPr>
        <w:t>.</w:t>
      </w:r>
      <w:r w:rsidRPr="001727ED">
        <w:rPr>
          <w:b/>
          <w:sz w:val="22"/>
          <w:szCs w:val="22"/>
        </w:rPr>
        <w:tab/>
        <w:t>Financial offer</w:t>
      </w:r>
    </w:p>
    <w:p w14:paraId="56C77C32" w14:textId="77777777" w:rsidR="006A0C62" w:rsidRDefault="006A0C62" w:rsidP="006A0C62">
      <w:pPr>
        <w:shd w:val="clear" w:color="auto" w:fill="FFFFFF"/>
        <w:spacing w:before="120" w:after="120"/>
        <w:jc w:val="both"/>
        <w:rPr>
          <w:sz w:val="22"/>
          <w:szCs w:val="22"/>
        </w:rPr>
      </w:pPr>
      <w:r w:rsidRPr="006A0C62">
        <w:rPr>
          <w:sz w:val="22"/>
          <w:szCs w:val="22"/>
        </w:rPr>
        <w:t xml:space="preserve">The financial offer must be presented in [Euro] and must include the following documents (using the templates included in the fee-based version of Annex V to part B of this tender dossier. The electronic version of this document ‘B8 - </w:t>
      </w:r>
      <w:hyperlink r:id="rId8" w:tooltip=" Budget breakdown for a fee-based contract" w:history="1">
        <w:r w:rsidRPr="006A0C62">
          <w:rPr>
            <w:color w:val="000000"/>
            <w:sz w:val="22"/>
            <w:szCs w:val="22"/>
          </w:rPr>
          <w:t>Budget breakdown for a fee-based contract</w:t>
        </w:r>
      </w:hyperlink>
      <w:r w:rsidRPr="006A0C62">
        <w:rPr>
          <w:sz w:val="22"/>
          <w:szCs w:val="22"/>
        </w:rPr>
        <w:t>’ can be found on the website:</w:t>
      </w:r>
    </w:p>
    <w:p w14:paraId="2CAC50D6" w14:textId="77777777" w:rsidR="006A0C62" w:rsidRPr="006A0C62" w:rsidRDefault="003B100D" w:rsidP="006A0C62">
      <w:pPr>
        <w:shd w:val="clear" w:color="auto" w:fill="FFFFFF"/>
        <w:spacing w:before="120" w:after="120"/>
        <w:jc w:val="both"/>
        <w:rPr>
          <w:sz w:val="22"/>
          <w:szCs w:val="22"/>
        </w:rPr>
      </w:pPr>
      <w:hyperlink r:id="rId9" w:anchor="Annexes-AnnexesB(Ch.3):Servicecontracts" w:history="1">
        <w:r w:rsidR="006A0C62" w:rsidRPr="006A0C62">
          <w:rPr>
            <w:rStyle w:val="Hyperlink"/>
            <w:sz w:val="22"/>
            <w:szCs w:val="22"/>
          </w:rPr>
          <w:t>https://wikis.ec.europa.eu/display/ExactExternalWiki/Annexes#Annexes-AnnexesB(Ch.3):Servicecontracts</w:t>
        </w:r>
      </w:hyperlink>
      <w:r w:rsidR="006A0C62" w:rsidRPr="006A0C62">
        <w:rPr>
          <w:sz w:val="22"/>
          <w:szCs w:val="22"/>
        </w:rPr>
        <w:t>.</w:t>
      </w:r>
    </w:p>
    <w:p w14:paraId="7D2BF686" w14:textId="77777777" w:rsidR="006A0C62" w:rsidRPr="006A0C62" w:rsidRDefault="006A0C62" w:rsidP="006A0C62">
      <w:pPr>
        <w:numPr>
          <w:ilvl w:val="0"/>
          <w:numId w:val="37"/>
        </w:numPr>
        <w:shd w:val="clear" w:color="auto" w:fill="FFFFFF"/>
        <w:tabs>
          <w:tab w:val="clear" w:pos="360"/>
        </w:tabs>
        <w:spacing w:before="120" w:after="120"/>
        <w:ind w:left="426" w:hanging="426"/>
        <w:jc w:val="both"/>
        <w:rPr>
          <w:sz w:val="22"/>
          <w:szCs w:val="22"/>
        </w:rPr>
      </w:pPr>
      <w:r w:rsidRPr="006A0C62">
        <w:rPr>
          <w:sz w:val="22"/>
          <w:szCs w:val="22"/>
        </w:rPr>
        <w:t>Budget breakdown</w:t>
      </w:r>
    </w:p>
    <w:p w14:paraId="656D3D45" w14:textId="77777777" w:rsidR="006A0C62" w:rsidRPr="006A0C62" w:rsidRDefault="006A0C62" w:rsidP="006A0C62">
      <w:pPr>
        <w:numPr>
          <w:ilvl w:val="0"/>
          <w:numId w:val="37"/>
        </w:numPr>
        <w:shd w:val="clear" w:color="auto" w:fill="FFFFFF"/>
        <w:tabs>
          <w:tab w:val="clear" w:pos="360"/>
        </w:tabs>
        <w:spacing w:before="120" w:after="120"/>
        <w:ind w:left="426" w:hanging="426"/>
        <w:jc w:val="both"/>
        <w:rPr>
          <w:sz w:val="22"/>
          <w:szCs w:val="22"/>
        </w:rPr>
      </w:pPr>
      <w:r w:rsidRPr="006A0C62">
        <w:rPr>
          <w:sz w:val="22"/>
          <w:szCs w:val="22"/>
        </w:rPr>
        <w:t>Working days</w:t>
      </w:r>
    </w:p>
    <w:p w14:paraId="7624E33A" w14:textId="77777777" w:rsidR="00627717" w:rsidRPr="002B370E" w:rsidRDefault="00627717" w:rsidP="00627717">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Pr>
          <w:sz w:val="22"/>
          <w:szCs w:val="22"/>
        </w:rPr>
        <w:t>contract</w:t>
      </w:r>
      <w:r w:rsidRPr="002B370E">
        <w:rPr>
          <w:sz w:val="22"/>
          <w:szCs w:val="22"/>
        </w:rPr>
        <w:t xml:space="preserve"> notice, is </w:t>
      </w:r>
      <w:r w:rsidR="006A0C62">
        <w:rPr>
          <w:sz w:val="22"/>
          <w:szCs w:val="22"/>
        </w:rPr>
        <w:t>10</w:t>
      </w:r>
      <w:r w:rsidR="00E13939">
        <w:rPr>
          <w:sz w:val="22"/>
          <w:szCs w:val="22"/>
        </w:rPr>
        <w:t>,000</w:t>
      </w:r>
      <w:r w:rsidR="00D55C2C" w:rsidRPr="00D55C2C">
        <w:rPr>
          <w:sz w:val="22"/>
          <w:szCs w:val="22"/>
        </w:rPr>
        <w:t xml:space="preserve"> EUR.</w:t>
      </w:r>
      <w:r w:rsidRPr="00D55C2C">
        <w:rPr>
          <w:sz w:val="22"/>
          <w:szCs w:val="22"/>
        </w:rPr>
        <w:t xml:space="preserve"> </w:t>
      </w:r>
      <w:r w:rsidRPr="002B370E">
        <w:rPr>
          <w:sz w:val="22"/>
          <w:szCs w:val="22"/>
        </w:rPr>
        <w:t xml:space="preserve">Payments under this contract will be made in </w:t>
      </w:r>
      <w:r>
        <w:rPr>
          <w:sz w:val="22"/>
          <w:szCs w:val="22"/>
        </w:rPr>
        <w:t>the currency of the tender.</w:t>
      </w:r>
      <w:r w:rsidRPr="002B370E">
        <w:rPr>
          <w:sz w:val="22"/>
          <w:szCs w:val="22"/>
        </w:rPr>
        <w:t xml:space="preserve"> </w:t>
      </w:r>
    </w:p>
    <w:p w14:paraId="18026105" w14:textId="77777777" w:rsidR="00627717" w:rsidRPr="002B370E" w:rsidRDefault="00627717" w:rsidP="00627717">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Pr>
          <w:sz w:val="22"/>
          <w:szCs w:val="22"/>
        </w:rPr>
        <w:t>s.</w:t>
      </w:r>
      <w:r w:rsidRPr="002B370E">
        <w:rPr>
          <w:sz w:val="22"/>
          <w:szCs w:val="22"/>
        </w:rPr>
        <w:t xml:space="preserve">  </w:t>
      </w:r>
    </w:p>
    <w:p w14:paraId="62CAA31D" w14:textId="77777777" w:rsidR="003436FE" w:rsidRDefault="003436FE" w:rsidP="003436FE">
      <w:pPr>
        <w:shd w:val="clear" w:color="auto" w:fill="FFFFFF"/>
        <w:spacing w:before="120" w:after="120"/>
        <w:jc w:val="both"/>
        <w:rPr>
          <w:sz w:val="22"/>
          <w:szCs w:val="22"/>
          <w:u w:val="single"/>
        </w:rPr>
      </w:pPr>
      <w:r w:rsidRPr="002B370E">
        <w:rPr>
          <w:sz w:val="22"/>
          <w:szCs w:val="22"/>
          <w:u w:val="single"/>
        </w:rPr>
        <w:t>Exemption of taxes</w:t>
      </w:r>
    </w:p>
    <w:p w14:paraId="09E6315F" w14:textId="77777777" w:rsidR="000428AD" w:rsidRPr="00571547" w:rsidRDefault="000428AD" w:rsidP="003436FE">
      <w:pPr>
        <w:shd w:val="clear" w:color="auto" w:fill="FFFFFF"/>
        <w:spacing w:before="120" w:after="120"/>
        <w:jc w:val="both"/>
        <w:rPr>
          <w:sz w:val="22"/>
          <w:szCs w:val="22"/>
        </w:rPr>
      </w:pPr>
      <w:r w:rsidRPr="00571547">
        <w:rPr>
          <w:sz w:val="22"/>
          <w:szCs w:val="22"/>
        </w:rPr>
        <w:t xml:space="preserve">In the Framework Agreement between the Government of the Republic of Albania and the Commission of the European Communities </w:t>
      </w:r>
      <w:r w:rsidR="00956D03" w:rsidRPr="00956D03">
        <w:rPr>
          <w:sz w:val="22"/>
          <w:szCs w:val="22"/>
        </w:rPr>
        <w:t>(</w:t>
      </w:r>
      <w:r w:rsidR="00D55C2C" w:rsidRPr="00956D03">
        <w:rPr>
          <w:sz w:val="22"/>
          <w:szCs w:val="22"/>
        </w:rPr>
        <w:t>Ref.</w:t>
      </w:r>
      <w:r w:rsidR="00956D03">
        <w:rPr>
          <w:sz w:val="22"/>
          <w:szCs w:val="22"/>
        </w:rPr>
        <w:t xml:space="preserve"> </w:t>
      </w:r>
      <w:proofErr w:type="gramStart"/>
      <w:r w:rsidR="00956D03" w:rsidRPr="00956D03">
        <w:rPr>
          <w:sz w:val="22"/>
          <w:szCs w:val="22"/>
        </w:rPr>
        <w:t>Ares(</w:t>
      </w:r>
      <w:proofErr w:type="gramEnd"/>
      <w:r w:rsidR="00956D03" w:rsidRPr="00956D03">
        <w:rPr>
          <w:sz w:val="22"/>
          <w:szCs w:val="22"/>
        </w:rPr>
        <w:t xml:space="preserve">2014)3155358) </w:t>
      </w:r>
      <w:r w:rsidR="00D55C2C" w:rsidRPr="00956D03">
        <w:rPr>
          <w:sz w:val="22"/>
          <w:szCs w:val="22"/>
        </w:rPr>
        <w:t>of 25/09/2014</w:t>
      </w:r>
      <w:r w:rsidRPr="00956D03">
        <w:rPr>
          <w:sz w:val="22"/>
          <w:szCs w:val="22"/>
        </w:rPr>
        <w:t>,</w:t>
      </w:r>
      <w:r w:rsidRPr="00571547">
        <w:rPr>
          <w:sz w:val="22"/>
          <w:szCs w:val="22"/>
        </w:rPr>
        <w:t xml:space="preserve"> Community financed contracts shall be exempt from taxes including the VAT, customs, duties or any other charges.</w:t>
      </w:r>
    </w:p>
    <w:p w14:paraId="3D57D1CE"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2893C1C7" w14:textId="77777777" w:rsidR="0041048A" w:rsidRDefault="00DA1AF2" w:rsidP="0041048A">
      <w:pPr>
        <w:spacing w:before="120" w:after="120"/>
        <w:rPr>
          <w:sz w:val="22"/>
          <w:szCs w:val="22"/>
        </w:rPr>
      </w:pPr>
      <w:r>
        <w:rPr>
          <w:sz w:val="22"/>
          <w:szCs w:val="22"/>
        </w:rPr>
        <w:t xml:space="preserve">Tenderers </w:t>
      </w:r>
      <w:r w:rsidR="003436FE" w:rsidRPr="000428AD">
        <w:rPr>
          <w:sz w:val="22"/>
          <w:szCs w:val="22"/>
        </w:rPr>
        <w:t>are not</w:t>
      </w:r>
      <w:r w:rsidR="003436FE" w:rsidRPr="002B370E">
        <w:rPr>
          <w:sz w:val="22"/>
          <w:szCs w:val="22"/>
        </w:rPr>
        <w:t xml:space="preserve"> </w:t>
      </w:r>
      <w:r w:rsidR="00605338" w:rsidRPr="002B370E">
        <w:rPr>
          <w:sz w:val="22"/>
          <w:szCs w:val="22"/>
        </w:rPr>
        <w:t>authorized</w:t>
      </w:r>
      <w:r w:rsidR="003436FE" w:rsidRPr="002B370E">
        <w:rPr>
          <w:sz w:val="22"/>
          <w:szCs w:val="22"/>
        </w:rPr>
        <w:t xml:space="preserve"> to tender for a variant in addition to th</w:t>
      </w:r>
      <w:r w:rsidR="003436FE">
        <w:rPr>
          <w:sz w:val="22"/>
          <w:szCs w:val="22"/>
        </w:rPr>
        <w:t>is</w:t>
      </w:r>
      <w:r w:rsidR="003436FE" w:rsidRPr="002B370E">
        <w:rPr>
          <w:sz w:val="22"/>
          <w:szCs w:val="22"/>
        </w:rPr>
        <w:t xml:space="preserve"> tender.</w:t>
      </w:r>
    </w:p>
    <w:p w14:paraId="542AE643" w14:textId="77777777" w:rsidR="003436FE" w:rsidRPr="0041048A" w:rsidRDefault="003436FE" w:rsidP="0041048A">
      <w:pPr>
        <w:numPr>
          <w:ilvl w:val="0"/>
          <w:numId w:val="26"/>
        </w:numPr>
        <w:spacing w:before="120" w:after="120"/>
        <w:rPr>
          <w:sz w:val="22"/>
          <w:szCs w:val="22"/>
        </w:rPr>
      </w:pPr>
      <w:r w:rsidRPr="002B370E">
        <w:rPr>
          <w:b/>
          <w:sz w:val="24"/>
          <w:szCs w:val="24"/>
        </w:rPr>
        <w:t>Period during which tenders are binding</w:t>
      </w:r>
    </w:p>
    <w:p w14:paraId="1E1A9A8F" w14:textId="77777777" w:rsidR="003436FE" w:rsidRPr="002B370E" w:rsidRDefault="003436FE" w:rsidP="003436FE">
      <w:pPr>
        <w:keepNext/>
        <w:keepLines/>
        <w:spacing w:before="120" w:after="120"/>
        <w:jc w:val="both"/>
        <w:rPr>
          <w:sz w:val="22"/>
          <w:szCs w:val="22"/>
        </w:rPr>
      </w:pPr>
      <w:r w:rsidRPr="002B370E">
        <w:rPr>
          <w:sz w:val="22"/>
          <w:szCs w:val="22"/>
        </w:rPr>
        <w:lastRenderedPageBreak/>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14:paraId="2E1B8F87"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p>
    <w:p w14:paraId="2A127021"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464B2339" w14:textId="77777777" w:rsidR="003436FE" w:rsidRPr="002B370E" w:rsidRDefault="003436FE" w:rsidP="009A128F">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14:paraId="1A98AE49" w14:textId="77777777" w:rsidR="009A128F" w:rsidRPr="0082569B" w:rsidRDefault="009A128F" w:rsidP="009A128F">
      <w:pPr>
        <w:pStyle w:val="BodyText"/>
        <w:spacing w:before="120" w:after="120"/>
        <w:jc w:val="both"/>
        <w:rPr>
          <w:sz w:val="22"/>
          <w:szCs w:val="22"/>
        </w:rPr>
      </w:pPr>
      <w:r w:rsidRPr="0082569B">
        <w:rPr>
          <w:sz w:val="22"/>
          <w:szCs w:val="22"/>
        </w:rPr>
        <w:t>No information meeting is foreseen.</w:t>
      </w:r>
    </w:p>
    <w:p w14:paraId="24BC87E2" w14:textId="77777777" w:rsidR="009A128F" w:rsidRPr="0082569B" w:rsidRDefault="009A128F" w:rsidP="009A128F">
      <w:pPr>
        <w:pStyle w:val="BodyText"/>
        <w:spacing w:before="120" w:after="120"/>
        <w:jc w:val="both"/>
        <w:rPr>
          <w:sz w:val="22"/>
          <w:szCs w:val="22"/>
        </w:rPr>
      </w:pPr>
      <w:r w:rsidRPr="0082569B">
        <w:rPr>
          <w:sz w:val="22"/>
          <w:szCs w:val="22"/>
        </w:rPr>
        <w:t>No site visit is foreseen.</w:t>
      </w:r>
    </w:p>
    <w:p w14:paraId="72A3D3EC" w14:textId="77777777" w:rsidR="003436FE" w:rsidRPr="002B370E" w:rsidRDefault="003436FE" w:rsidP="009A128F">
      <w:pPr>
        <w:pStyle w:val="BodyText"/>
        <w:rPr>
          <w:sz w:val="22"/>
          <w:szCs w:val="22"/>
        </w:rPr>
      </w:pPr>
    </w:p>
    <w:p w14:paraId="2AE0D3FF"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14:paraId="1EF6BF6C" w14:textId="30368DD4" w:rsidR="003436FE" w:rsidRPr="00486C50" w:rsidRDefault="003436FE" w:rsidP="003436FE">
      <w:pPr>
        <w:spacing w:before="120" w:after="120"/>
        <w:jc w:val="both"/>
        <w:rPr>
          <w:sz w:val="22"/>
          <w:szCs w:val="22"/>
        </w:rPr>
      </w:pPr>
      <w:r w:rsidRPr="4E9A090C">
        <w:rPr>
          <w:sz w:val="22"/>
          <w:szCs w:val="22"/>
        </w:rPr>
        <w:t xml:space="preserve">Tenders must be delivered for </w:t>
      </w:r>
      <w:r w:rsidRPr="4E9A090C">
        <w:rPr>
          <w:b/>
          <w:bCs/>
          <w:sz w:val="22"/>
          <w:szCs w:val="22"/>
        </w:rPr>
        <w:t xml:space="preserve">receipt </w:t>
      </w:r>
      <w:r w:rsidR="0093056A" w:rsidRPr="4E9A090C">
        <w:rPr>
          <w:sz w:val="22"/>
          <w:szCs w:val="22"/>
        </w:rPr>
        <w:t xml:space="preserve">before </w:t>
      </w:r>
      <w:r w:rsidR="006A0C62" w:rsidRPr="4E9A090C">
        <w:rPr>
          <w:b/>
          <w:bCs/>
          <w:sz w:val="22"/>
          <w:szCs w:val="22"/>
        </w:rPr>
        <w:t>14</w:t>
      </w:r>
      <w:r w:rsidR="00BE75AA" w:rsidRPr="4E9A090C">
        <w:rPr>
          <w:b/>
          <w:bCs/>
          <w:sz w:val="22"/>
          <w:szCs w:val="22"/>
        </w:rPr>
        <w:t>:</w:t>
      </w:r>
      <w:r w:rsidR="0093056A" w:rsidRPr="4E9A090C">
        <w:rPr>
          <w:b/>
          <w:bCs/>
          <w:sz w:val="22"/>
          <w:szCs w:val="22"/>
        </w:rPr>
        <w:t>00</w:t>
      </w:r>
      <w:r w:rsidR="3A34E5A9" w:rsidRPr="4E9A090C">
        <w:rPr>
          <w:b/>
          <w:bCs/>
          <w:sz w:val="22"/>
          <w:szCs w:val="22"/>
        </w:rPr>
        <w:t xml:space="preserve">hr </w:t>
      </w:r>
      <w:r w:rsidR="0093056A" w:rsidRPr="4E9A090C">
        <w:rPr>
          <w:b/>
          <w:bCs/>
          <w:sz w:val="22"/>
          <w:szCs w:val="22"/>
        </w:rPr>
        <w:t>of</w:t>
      </w:r>
      <w:r w:rsidR="00121CA8" w:rsidRPr="4E9A090C">
        <w:rPr>
          <w:b/>
          <w:bCs/>
          <w:sz w:val="22"/>
          <w:szCs w:val="22"/>
        </w:rPr>
        <w:t xml:space="preserve"> </w:t>
      </w:r>
      <w:r w:rsidR="5AFC2671" w:rsidRPr="4E9A090C">
        <w:rPr>
          <w:b/>
          <w:bCs/>
          <w:sz w:val="22"/>
          <w:szCs w:val="22"/>
        </w:rPr>
        <w:t>2</w:t>
      </w:r>
      <w:r w:rsidR="00A40848">
        <w:rPr>
          <w:b/>
          <w:bCs/>
          <w:sz w:val="22"/>
          <w:szCs w:val="22"/>
        </w:rPr>
        <w:t>3</w:t>
      </w:r>
      <w:bookmarkStart w:id="4" w:name="_GoBack"/>
      <w:bookmarkEnd w:id="4"/>
      <w:r w:rsidR="5AFC2671" w:rsidRPr="4E9A090C">
        <w:rPr>
          <w:b/>
          <w:bCs/>
          <w:sz w:val="22"/>
          <w:szCs w:val="22"/>
        </w:rPr>
        <w:t xml:space="preserve"> December 2024 </w:t>
      </w:r>
      <w:r w:rsidR="00BE75AA" w:rsidRPr="4E9A090C">
        <w:rPr>
          <w:b/>
          <w:bCs/>
          <w:sz w:val="22"/>
          <w:szCs w:val="22"/>
        </w:rPr>
        <w:t>;</w:t>
      </w:r>
      <w:r w:rsidR="00511233" w:rsidRPr="4E9A090C">
        <w:rPr>
          <w:b/>
          <w:bCs/>
          <w:sz w:val="22"/>
          <w:szCs w:val="22"/>
        </w:rPr>
        <w:t xml:space="preserve"> </w:t>
      </w:r>
      <w:r w:rsidR="00511233" w:rsidRPr="4E9A090C">
        <w:rPr>
          <w:sz w:val="22"/>
          <w:szCs w:val="22"/>
        </w:rPr>
        <w:t>at least</w:t>
      </w:r>
      <w:r w:rsidRPr="4E9A090C">
        <w:rPr>
          <w:sz w:val="22"/>
          <w:szCs w:val="22"/>
        </w:rPr>
        <w:t xml:space="preserve"> </w:t>
      </w:r>
      <w:r w:rsidR="00BE75AA" w:rsidRPr="4E9A090C">
        <w:rPr>
          <w:sz w:val="22"/>
          <w:szCs w:val="22"/>
        </w:rPr>
        <w:t xml:space="preserve">30 days </w:t>
      </w:r>
      <w:r w:rsidRPr="4E9A090C">
        <w:rPr>
          <w:sz w:val="22"/>
          <w:szCs w:val="22"/>
        </w:rPr>
        <w:t>after the date of the invitation letter and at the close</w:t>
      </w:r>
      <w:r w:rsidR="00BE75AA" w:rsidRPr="4E9A090C">
        <w:rPr>
          <w:sz w:val="22"/>
          <w:szCs w:val="22"/>
        </w:rPr>
        <w:t xml:space="preserve"> of business of a working </w:t>
      </w:r>
      <w:r w:rsidR="00121CA8" w:rsidRPr="4E9A090C">
        <w:rPr>
          <w:sz w:val="22"/>
          <w:szCs w:val="22"/>
        </w:rPr>
        <w:t>day. They</w:t>
      </w:r>
      <w:r w:rsidRPr="4E9A090C">
        <w:rPr>
          <w:sz w:val="22"/>
          <w:szCs w:val="22"/>
        </w:rPr>
        <w:t xml:space="preserve"> must include the requested documents in clause 4 above and be sent:</w:t>
      </w:r>
      <w:r w:rsidR="00BE75AA" w:rsidRPr="4E9A090C">
        <w:rPr>
          <w:sz w:val="22"/>
          <w:szCs w:val="22"/>
          <w:highlight w:val="yellow"/>
        </w:rPr>
        <w:t xml:space="preserve"> </w:t>
      </w:r>
    </w:p>
    <w:p w14:paraId="39409137" w14:textId="77777777"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14:paraId="511303FB" w14:textId="77777777" w:rsidR="006A0C62" w:rsidRDefault="00B806F8" w:rsidP="0093056A">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Drejtoria</w:t>
      </w:r>
      <w:proofErr w:type="spellEnd"/>
      <w:r>
        <w:rPr>
          <w:rStyle w:val="Emphasis"/>
          <w:i w:val="0"/>
          <w:sz w:val="22"/>
          <w:szCs w:val="22"/>
          <w:lang w:val="en-GB"/>
        </w:rPr>
        <w:t xml:space="preserve"> e </w:t>
      </w:r>
      <w:proofErr w:type="spellStart"/>
      <w:r>
        <w:rPr>
          <w:rStyle w:val="Emphasis"/>
          <w:i w:val="0"/>
          <w:sz w:val="22"/>
          <w:szCs w:val="22"/>
          <w:lang w:val="en-GB"/>
        </w:rPr>
        <w:t>Pergjiths</w:t>
      </w:r>
      <w:r w:rsidR="00F13B7D">
        <w:rPr>
          <w:rStyle w:val="Emphasis"/>
          <w:i w:val="0"/>
          <w:sz w:val="22"/>
          <w:szCs w:val="22"/>
          <w:lang w:val="en-GB"/>
        </w:rPr>
        <w:t>h</w:t>
      </w:r>
      <w:r>
        <w:rPr>
          <w:rStyle w:val="Emphasis"/>
          <w:i w:val="0"/>
          <w:sz w:val="22"/>
          <w:szCs w:val="22"/>
          <w:lang w:val="en-GB"/>
        </w:rPr>
        <w:t>me</w:t>
      </w:r>
      <w:proofErr w:type="spellEnd"/>
      <w:r>
        <w:rPr>
          <w:rStyle w:val="Emphasis"/>
          <w:i w:val="0"/>
          <w:sz w:val="22"/>
          <w:szCs w:val="22"/>
          <w:lang w:val="en-GB"/>
        </w:rPr>
        <w:t xml:space="preserve"> </w:t>
      </w:r>
      <w:proofErr w:type="spellStart"/>
      <w:r>
        <w:rPr>
          <w:rStyle w:val="Emphasis"/>
          <w:i w:val="0"/>
          <w:sz w:val="22"/>
          <w:szCs w:val="22"/>
          <w:lang w:val="en-GB"/>
        </w:rPr>
        <w:t>Detare</w:t>
      </w:r>
      <w:proofErr w:type="spellEnd"/>
    </w:p>
    <w:p w14:paraId="255A09AB" w14:textId="77777777" w:rsidR="00B806F8" w:rsidRDefault="00330CAC" w:rsidP="0093056A">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Rruga</w:t>
      </w:r>
      <w:proofErr w:type="spellEnd"/>
      <w:r>
        <w:rPr>
          <w:rStyle w:val="Emphasis"/>
          <w:i w:val="0"/>
          <w:sz w:val="22"/>
          <w:szCs w:val="22"/>
          <w:lang w:val="en-GB"/>
        </w:rPr>
        <w:t xml:space="preserve"> </w:t>
      </w:r>
      <w:proofErr w:type="spellStart"/>
      <w:r>
        <w:rPr>
          <w:rStyle w:val="Emphasis"/>
          <w:i w:val="0"/>
          <w:sz w:val="22"/>
          <w:szCs w:val="22"/>
          <w:lang w:val="en-GB"/>
        </w:rPr>
        <w:t>Tre</w:t>
      </w:r>
      <w:r w:rsidR="00B806F8">
        <w:rPr>
          <w:rStyle w:val="Emphasis"/>
          <w:i w:val="0"/>
          <w:sz w:val="22"/>
          <w:szCs w:val="22"/>
          <w:lang w:val="en-GB"/>
        </w:rPr>
        <w:t>gtare</w:t>
      </w:r>
      <w:proofErr w:type="spellEnd"/>
    </w:p>
    <w:p w14:paraId="0DDD12D1" w14:textId="77777777" w:rsidR="00B806F8" w:rsidRPr="00A72D70" w:rsidRDefault="00B806F8" w:rsidP="0093056A">
      <w:pPr>
        <w:pStyle w:val="Blockquote"/>
        <w:keepNext/>
        <w:keepLines/>
        <w:spacing w:before="0" w:after="0"/>
        <w:jc w:val="center"/>
        <w:rPr>
          <w:rStyle w:val="Emphasis"/>
          <w:sz w:val="22"/>
          <w:szCs w:val="22"/>
          <w:lang w:val="en-GB"/>
        </w:rPr>
      </w:pPr>
      <w:r>
        <w:rPr>
          <w:rStyle w:val="Emphasis"/>
          <w:i w:val="0"/>
          <w:sz w:val="22"/>
          <w:szCs w:val="22"/>
          <w:lang w:val="en-GB"/>
        </w:rPr>
        <w:t xml:space="preserve">Durres </w:t>
      </w:r>
    </w:p>
    <w:p w14:paraId="03172F14" w14:textId="77777777" w:rsidR="003436FE" w:rsidRPr="002B370E" w:rsidRDefault="003436FE" w:rsidP="00A72D70">
      <w:pPr>
        <w:pStyle w:val="Blockquote"/>
        <w:keepNext/>
        <w:keepLines/>
        <w:spacing w:before="0" w:after="0"/>
        <w:jc w:val="center"/>
        <w:rPr>
          <w:sz w:val="22"/>
          <w:szCs w:val="22"/>
        </w:rPr>
      </w:pPr>
      <w:r w:rsidRPr="0093056A">
        <w:rPr>
          <w:rStyle w:val="Emphasis"/>
          <w:color w:val="FF0000"/>
          <w:sz w:val="22"/>
          <w:szCs w:val="22"/>
          <w:lang w:val="en-GB"/>
        </w:rPr>
        <w:br/>
      </w: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14:paraId="078D6CD5" w14:textId="77777777" w:rsidR="00B806F8" w:rsidRDefault="003436FE" w:rsidP="00B806F8">
      <w:pPr>
        <w:pStyle w:val="Blockquote"/>
        <w:keepNext/>
        <w:keepLines/>
        <w:spacing w:before="0" w:after="0"/>
        <w:jc w:val="center"/>
        <w:rPr>
          <w:rStyle w:val="Emphasis"/>
          <w:i w:val="0"/>
          <w:sz w:val="22"/>
          <w:szCs w:val="22"/>
          <w:lang w:val="en-GB"/>
        </w:rPr>
      </w:pPr>
      <w:r w:rsidRPr="002B370E">
        <w:rPr>
          <w:sz w:val="22"/>
          <w:szCs w:val="22"/>
          <w:lang w:val="en-GB"/>
        </w:rPr>
        <w:br/>
      </w:r>
      <w:proofErr w:type="spellStart"/>
      <w:r w:rsidR="00B806F8">
        <w:rPr>
          <w:rStyle w:val="Emphasis"/>
          <w:i w:val="0"/>
          <w:sz w:val="22"/>
          <w:szCs w:val="22"/>
          <w:lang w:val="en-GB"/>
        </w:rPr>
        <w:t>Drejtoria</w:t>
      </w:r>
      <w:proofErr w:type="spellEnd"/>
      <w:r w:rsidR="00B806F8">
        <w:rPr>
          <w:rStyle w:val="Emphasis"/>
          <w:i w:val="0"/>
          <w:sz w:val="22"/>
          <w:szCs w:val="22"/>
          <w:lang w:val="en-GB"/>
        </w:rPr>
        <w:t xml:space="preserve"> e </w:t>
      </w:r>
      <w:proofErr w:type="spellStart"/>
      <w:r w:rsidR="00B806F8">
        <w:rPr>
          <w:rStyle w:val="Emphasis"/>
          <w:i w:val="0"/>
          <w:sz w:val="22"/>
          <w:szCs w:val="22"/>
          <w:lang w:val="en-GB"/>
        </w:rPr>
        <w:t>Pergjiths</w:t>
      </w:r>
      <w:r w:rsidR="00F13B7D">
        <w:rPr>
          <w:rStyle w:val="Emphasis"/>
          <w:i w:val="0"/>
          <w:sz w:val="22"/>
          <w:szCs w:val="22"/>
          <w:lang w:val="en-GB"/>
        </w:rPr>
        <w:t>h</w:t>
      </w:r>
      <w:r w:rsidR="00B806F8">
        <w:rPr>
          <w:rStyle w:val="Emphasis"/>
          <w:i w:val="0"/>
          <w:sz w:val="22"/>
          <w:szCs w:val="22"/>
          <w:lang w:val="en-GB"/>
        </w:rPr>
        <w:t>me</w:t>
      </w:r>
      <w:proofErr w:type="spellEnd"/>
      <w:r w:rsidR="00B806F8">
        <w:rPr>
          <w:rStyle w:val="Emphasis"/>
          <w:i w:val="0"/>
          <w:sz w:val="22"/>
          <w:szCs w:val="22"/>
          <w:lang w:val="en-GB"/>
        </w:rPr>
        <w:t xml:space="preserve"> </w:t>
      </w:r>
      <w:proofErr w:type="spellStart"/>
      <w:r w:rsidR="00B806F8">
        <w:rPr>
          <w:rStyle w:val="Emphasis"/>
          <w:i w:val="0"/>
          <w:sz w:val="22"/>
          <w:szCs w:val="22"/>
          <w:lang w:val="en-GB"/>
        </w:rPr>
        <w:t>Detare</w:t>
      </w:r>
      <w:proofErr w:type="spellEnd"/>
    </w:p>
    <w:p w14:paraId="20E117E1" w14:textId="77777777" w:rsidR="00B806F8" w:rsidRDefault="00B806F8" w:rsidP="00B806F8">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Rruga</w:t>
      </w:r>
      <w:proofErr w:type="spellEnd"/>
      <w:r>
        <w:rPr>
          <w:rStyle w:val="Emphasis"/>
          <w:i w:val="0"/>
          <w:sz w:val="22"/>
          <w:szCs w:val="22"/>
          <w:lang w:val="en-GB"/>
        </w:rPr>
        <w:t xml:space="preserve"> </w:t>
      </w:r>
      <w:proofErr w:type="spellStart"/>
      <w:r>
        <w:rPr>
          <w:rStyle w:val="Emphasis"/>
          <w:i w:val="0"/>
          <w:sz w:val="22"/>
          <w:szCs w:val="22"/>
          <w:lang w:val="en-GB"/>
        </w:rPr>
        <w:t>Tr</w:t>
      </w:r>
      <w:r w:rsidR="00330CAC">
        <w:rPr>
          <w:rStyle w:val="Emphasis"/>
          <w:i w:val="0"/>
          <w:sz w:val="22"/>
          <w:szCs w:val="22"/>
          <w:lang w:val="en-GB"/>
        </w:rPr>
        <w:t>e</w:t>
      </w:r>
      <w:r>
        <w:rPr>
          <w:rStyle w:val="Emphasis"/>
          <w:i w:val="0"/>
          <w:sz w:val="22"/>
          <w:szCs w:val="22"/>
          <w:lang w:val="en-GB"/>
        </w:rPr>
        <w:t>gtare</w:t>
      </w:r>
      <w:proofErr w:type="spellEnd"/>
    </w:p>
    <w:p w14:paraId="608225A5" w14:textId="77777777" w:rsidR="00B806F8" w:rsidRPr="00A72D70" w:rsidRDefault="00B806F8" w:rsidP="00B806F8">
      <w:pPr>
        <w:pStyle w:val="Blockquote"/>
        <w:keepNext/>
        <w:keepLines/>
        <w:spacing w:before="0" w:after="0"/>
        <w:jc w:val="center"/>
        <w:rPr>
          <w:rStyle w:val="Emphasis"/>
          <w:sz w:val="22"/>
          <w:szCs w:val="22"/>
          <w:lang w:val="en-GB"/>
        </w:rPr>
      </w:pPr>
      <w:r>
        <w:rPr>
          <w:rStyle w:val="Emphasis"/>
          <w:i w:val="0"/>
          <w:sz w:val="22"/>
          <w:szCs w:val="22"/>
          <w:lang w:val="en-GB"/>
        </w:rPr>
        <w:t xml:space="preserve">Durres </w:t>
      </w:r>
    </w:p>
    <w:p w14:paraId="0D0B940D" w14:textId="77777777" w:rsidR="00B806F8" w:rsidRDefault="00B806F8" w:rsidP="00B806F8">
      <w:pPr>
        <w:pStyle w:val="Blockquote"/>
        <w:keepNext/>
        <w:keepLines/>
        <w:spacing w:before="0" w:after="0"/>
        <w:jc w:val="center"/>
        <w:rPr>
          <w:rStyle w:val="Strong"/>
          <w:sz w:val="22"/>
          <w:szCs w:val="22"/>
        </w:rPr>
      </w:pPr>
    </w:p>
    <w:p w14:paraId="11CDA16E" w14:textId="77777777" w:rsidR="003436FE" w:rsidRPr="00A72D70" w:rsidRDefault="003436FE" w:rsidP="00B806F8">
      <w:pPr>
        <w:pStyle w:val="Blockquote"/>
        <w:keepNext/>
        <w:keepLines/>
        <w:spacing w:before="0" w:after="0"/>
        <w:jc w:val="both"/>
        <w:rPr>
          <w:sz w:val="22"/>
          <w:szCs w:val="22"/>
        </w:rPr>
      </w:pPr>
      <w:r w:rsidRPr="00A72D70">
        <w:rPr>
          <w:rStyle w:val="Strong"/>
          <w:sz w:val="22"/>
          <w:szCs w:val="22"/>
        </w:rPr>
        <w:t xml:space="preserve">Tenders submitted by any other means will not be considered. </w:t>
      </w:r>
      <w:r w:rsidRPr="00A72D70">
        <w:rPr>
          <w:sz w:val="22"/>
          <w:szCs w:val="22"/>
        </w:rPr>
        <w:t>Tenders must be submitted using the double envelope system, i.e., in an outer parcel or envelope containing two separate, sealed envelopes, one bearing the words ‘</w:t>
      </w:r>
      <w:r w:rsidRPr="00A72D70">
        <w:rPr>
          <w:b/>
          <w:sz w:val="22"/>
          <w:szCs w:val="22"/>
        </w:rPr>
        <w:t>Envelope A — Technical offer’</w:t>
      </w:r>
      <w:r w:rsidRPr="00A72D70">
        <w:rPr>
          <w:sz w:val="22"/>
          <w:szCs w:val="22"/>
        </w:rPr>
        <w:t xml:space="preserve"> and the other ‘</w:t>
      </w:r>
      <w:r w:rsidRPr="00A72D70">
        <w:rPr>
          <w:b/>
          <w:sz w:val="22"/>
          <w:szCs w:val="22"/>
        </w:rPr>
        <w:t>Envelope B — Financial offer’</w:t>
      </w:r>
      <w:r w:rsidRPr="00A72D70">
        <w:rPr>
          <w:sz w:val="22"/>
          <w:szCs w:val="22"/>
        </w:rPr>
        <w:t>. All parts of the tender other than the financial offer must be submitted in Envelope A (i.e., including the Tender submission form, statements of exclusivity and availability of the key experts and declarations).</w:t>
      </w:r>
    </w:p>
    <w:p w14:paraId="78A7E28D" w14:textId="77777777" w:rsidR="003436FE" w:rsidRPr="0093056A" w:rsidRDefault="003436FE" w:rsidP="00B806F8">
      <w:pPr>
        <w:spacing w:before="120" w:after="120"/>
        <w:jc w:val="both"/>
        <w:rPr>
          <w:sz w:val="22"/>
          <w:szCs w:val="22"/>
        </w:rPr>
      </w:pPr>
      <w:r w:rsidRPr="0093056A">
        <w:rPr>
          <w:b/>
          <w:sz w:val="22"/>
          <w:szCs w:val="22"/>
        </w:rPr>
        <w:t>Any infringement of these rules (e.g., unsealed envelopes or references to price in the technical offer) will lead to rejection of the tender.</w:t>
      </w:r>
      <w:r w:rsidRPr="0093056A">
        <w:rPr>
          <w:sz w:val="22"/>
          <w:szCs w:val="22"/>
        </w:rPr>
        <w:t xml:space="preserve"> </w:t>
      </w:r>
    </w:p>
    <w:p w14:paraId="778A6F2A" w14:textId="77777777" w:rsidR="003436FE" w:rsidRPr="0093056A" w:rsidRDefault="003436FE" w:rsidP="00B806F8">
      <w:pPr>
        <w:spacing w:before="120" w:after="120"/>
        <w:jc w:val="both"/>
        <w:rPr>
          <w:sz w:val="22"/>
          <w:szCs w:val="22"/>
        </w:rPr>
      </w:pPr>
      <w:r w:rsidRPr="0093056A">
        <w:rPr>
          <w:sz w:val="22"/>
          <w:szCs w:val="22"/>
        </w:rPr>
        <w:t xml:space="preserve">The outer envelope should provide the following information: </w:t>
      </w:r>
    </w:p>
    <w:p w14:paraId="07FE0017" w14:textId="77777777" w:rsidR="00121CA8" w:rsidRPr="0041048A" w:rsidRDefault="003436FE" w:rsidP="0041048A">
      <w:pPr>
        <w:numPr>
          <w:ilvl w:val="0"/>
          <w:numId w:val="24"/>
        </w:numPr>
        <w:tabs>
          <w:tab w:val="clear" w:pos="861"/>
        </w:tabs>
        <w:spacing w:before="120" w:after="120"/>
        <w:ind w:left="426" w:hanging="284"/>
        <w:rPr>
          <w:sz w:val="22"/>
          <w:szCs w:val="22"/>
        </w:rPr>
      </w:pPr>
      <w:r w:rsidRPr="0093056A">
        <w:rPr>
          <w:sz w:val="22"/>
          <w:szCs w:val="22"/>
        </w:rPr>
        <w:t xml:space="preserve">the address for submitting tenders indicated </w:t>
      </w:r>
      <w:proofErr w:type="gramStart"/>
      <w:r w:rsidRPr="0093056A">
        <w:rPr>
          <w:sz w:val="22"/>
          <w:szCs w:val="22"/>
        </w:rPr>
        <w:t xml:space="preserve">above; </w:t>
      </w:r>
      <w:r w:rsidR="0041048A">
        <w:rPr>
          <w:sz w:val="22"/>
          <w:szCs w:val="22"/>
        </w:rPr>
        <w:t xml:space="preserve"> </w:t>
      </w:r>
      <w:r w:rsidRPr="0041048A">
        <w:rPr>
          <w:b/>
          <w:sz w:val="22"/>
          <w:szCs w:val="22"/>
        </w:rPr>
        <w:t>the</w:t>
      </w:r>
      <w:proofErr w:type="gramEnd"/>
      <w:r w:rsidRPr="0041048A">
        <w:rPr>
          <w:b/>
          <w:sz w:val="22"/>
          <w:szCs w:val="22"/>
        </w:rPr>
        <w:t xml:space="preserve"> reference code of the tender procedure</w:t>
      </w:r>
      <w:r w:rsidR="00121CA8" w:rsidRPr="0041048A">
        <w:rPr>
          <w:rFonts w:ascii="Times" w:hAnsi="Times" w:cs="Times"/>
          <w:b/>
          <w:sz w:val="24"/>
          <w:szCs w:val="24"/>
          <w:lang w:val="en-GB"/>
        </w:rPr>
        <w:t xml:space="preserve"> </w:t>
      </w:r>
      <w:r w:rsidR="00121CA8" w:rsidRPr="0041048A">
        <w:rPr>
          <w:b/>
          <w:sz w:val="22"/>
          <w:szCs w:val="22"/>
          <w:lang w:val="en-GB"/>
        </w:rPr>
        <w:t>(</w:t>
      </w:r>
      <w:r w:rsidR="00B806F8" w:rsidRPr="0041048A">
        <w:rPr>
          <w:b/>
          <w:bCs/>
          <w:sz w:val="22"/>
          <w:szCs w:val="22"/>
        </w:rPr>
        <w:t>IPA-ADRION00021</w:t>
      </w:r>
      <w:r w:rsidR="0041048A">
        <w:rPr>
          <w:sz w:val="22"/>
          <w:szCs w:val="22"/>
        </w:rPr>
        <w:t xml:space="preserve"> </w:t>
      </w:r>
      <w:r w:rsidR="00B806F8" w:rsidRPr="0041048A">
        <w:rPr>
          <w:b/>
          <w:bCs/>
          <w:sz w:val="22"/>
          <w:szCs w:val="22"/>
        </w:rPr>
        <w:t xml:space="preserve">GREENROUTES </w:t>
      </w:r>
    </w:p>
    <w:p w14:paraId="3F1B4D17" w14:textId="77777777" w:rsidR="0093056A" w:rsidRPr="00594E1E" w:rsidRDefault="003436FE" w:rsidP="0093056A">
      <w:pPr>
        <w:numPr>
          <w:ilvl w:val="0"/>
          <w:numId w:val="24"/>
        </w:numPr>
        <w:tabs>
          <w:tab w:val="clear" w:pos="861"/>
        </w:tabs>
        <w:spacing w:before="120" w:after="120"/>
        <w:ind w:left="426" w:hanging="284"/>
        <w:rPr>
          <w:sz w:val="22"/>
          <w:szCs w:val="22"/>
        </w:rPr>
      </w:pPr>
      <w:r w:rsidRPr="00594E1E">
        <w:rPr>
          <w:sz w:val="22"/>
          <w:szCs w:val="22"/>
        </w:rPr>
        <w:lastRenderedPageBreak/>
        <w:t>the words ‘Not to be opened before the tender-opening session’ and</w:t>
      </w:r>
      <w:r w:rsidR="0093056A" w:rsidRPr="00594E1E">
        <w:rPr>
          <w:sz w:val="22"/>
          <w:szCs w:val="22"/>
        </w:rPr>
        <w:t xml:space="preserve"> "</w:t>
      </w:r>
      <w:proofErr w:type="spellStart"/>
      <w:r w:rsidR="0093056A" w:rsidRPr="00594E1E">
        <w:rPr>
          <w:sz w:val="22"/>
          <w:szCs w:val="22"/>
        </w:rPr>
        <w:t>Te</w:t>
      </w:r>
      <w:proofErr w:type="spellEnd"/>
      <w:r w:rsidR="0093056A" w:rsidRPr="00594E1E">
        <w:rPr>
          <w:sz w:val="22"/>
          <w:szCs w:val="22"/>
        </w:rPr>
        <w:t xml:space="preserve"> </w:t>
      </w:r>
      <w:proofErr w:type="spellStart"/>
      <w:r w:rsidR="0093056A" w:rsidRPr="00594E1E">
        <w:rPr>
          <w:sz w:val="22"/>
          <w:szCs w:val="22"/>
        </w:rPr>
        <w:t>mos</w:t>
      </w:r>
      <w:proofErr w:type="spellEnd"/>
      <w:r w:rsidR="0093056A" w:rsidRPr="00594E1E">
        <w:rPr>
          <w:sz w:val="22"/>
          <w:szCs w:val="22"/>
        </w:rPr>
        <w:t xml:space="preserve"> </w:t>
      </w:r>
      <w:proofErr w:type="spellStart"/>
      <w:r w:rsidR="0093056A" w:rsidRPr="00594E1E">
        <w:rPr>
          <w:sz w:val="22"/>
          <w:szCs w:val="22"/>
        </w:rPr>
        <w:t>hapet</w:t>
      </w:r>
      <w:proofErr w:type="spellEnd"/>
      <w:r w:rsidR="0093056A" w:rsidRPr="00594E1E">
        <w:rPr>
          <w:sz w:val="22"/>
          <w:szCs w:val="22"/>
        </w:rPr>
        <w:t xml:space="preserve"> </w:t>
      </w:r>
      <w:proofErr w:type="spellStart"/>
      <w:r w:rsidR="0093056A" w:rsidRPr="00594E1E">
        <w:rPr>
          <w:sz w:val="22"/>
          <w:szCs w:val="22"/>
        </w:rPr>
        <w:t>perpara</w:t>
      </w:r>
      <w:proofErr w:type="spellEnd"/>
      <w:r w:rsidR="0093056A" w:rsidRPr="00594E1E">
        <w:rPr>
          <w:sz w:val="22"/>
          <w:szCs w:val="22"/>
        </w:rPr>
        <w:t xml:space="preserve"> </w:t>
      </w:r>
      <w:proofErr w:type="spellStart"/>
      <w:r w:rsidR="0093056A" w:rsidRPr="00594E1E">
        <w:rPr>
          <w:sz w:val="22"/>
          <w:szCs w:val="22"/>
        </w:rPr>
        <w:t>sesionit</w:t>
      </w:r>
      <w:proofErr w:type="spellEnd"/>
      <w:r w:rsidR="0093056A" w:rsidRPr="00594E1E">
        <w:rPr>
          <w:sz w:val="22"/>
          <w:szCs w:val="22"/>
        </w:rPr>
        <w:t xml:space="preserve"> </w:t>
      </w:r>
      <w:proofErr w:type="spellStart"/>
      <w:r w:rsidR="0093056A" w:rsidRPr="00594E1E">
        <w:rPr>
          <w:sz w:val="22"/>
          <w:szCs w:val="22"/>
        </w:rPr>
        <w:t>te</w:t>
      </w:r>
      <w:proofErr w:type="spellEnd"/>
      <w:r w:rsidR="0093056A" w:rsidRPr="00594E1E">
        <w:rPr>
          <w:sz w:val="22"/>
          <w:szCs w:val="22"/>
        </w:rPr>
        <w:t xml:space="preserve"> </w:t>
      </w:r>
      <w:proofErr w:type="spellStart"/>
      <w:r w:rsidR="0093056A" w:rsidRPr="00594E1E">
        <w:rPr>
          <w:sz w:val="22"/>
          <w:szCs w:val="22"/>
        </w:rPr>
        <w:t>hapjes</w:t>
      </w:r>
      <w:proofErr w:type="spellEnd"/>
      <w:r w:rsidR="0093056A" w:rsidRPr="00594E1E">
        <w:rPr>
          <w:sz w:val="22"/>
          <w:szCs w:val="22"/>
        </w:rPr>
        <w:t xml:space="preserve"> se </w:t>
      </w:r>
      <w:proofErr w:type="spellStart"/>
      <w:r w:rsidR="0093056A" w:rsidRPr="00594E1E">
        <w:rPr>
          <w:sz w:val="22"/>
          <w:szCs w:val="22"/>
        </w:rPr>
        <w:t>tenderit</w:t>
      </w:r>
      <w:proofErr w:type="spellEnd"/>
      <w:r w:rsidR="0093056A" w:rsidRPr="00594E1E">
        <w:rPr>
          <w:sz w:val="22"/>
          <w:szCs w:val="22"/>
        </w:rPr>
        <w:t>";</w:t>
      </w:r>
    </w:p>
    <w:p w14:paraId="38F6A036" w14:textId="77777777" w:rsidR="003436FE" w:rsidRPr="0093056A" w:rsidRDefault="003436FE" w:rsidP="003436FE">
      <w:pPr>
        <w:numPr>
          <w:ilvl w:val="0"/>
          <w:numId w:val="24"/>
        </w:numPr>
        <w:tabs>
          <w:tab w:val="clear" w:pos="861"/>
        </w:tabs>
        <w:spacing w:before="120" w:after="120"/>
        <w:ind w:left="426" w:hanging="284"/>
        <w:rPr>
          <w:sz w:val="22"/>
          <w:szCs w:val="22"/>
        </w:rPr>
      </w:pPr>
      <w:r w:rsidRPr="4E9A090C">
        <w:rPr>
          <w:sz w:val="22"/>
          <w:szCs w:val="22"/>
        </w:rPr>
        <w:t>the name of the tenderer.</w:t>
      </w:r>
    </w:p>
    <w:p w14:paraId="56D2CD84"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00DA6ADC" w:rsidRPr="00DA6ADC">
        <w:rPr>
          <w:b/>
          <w:sz w:val="24"/>
          <w:szCs w:val="24"/>
        </w:rPr>
        <w:t xml:space="preserve"> </w:t>
      </w:r>
      <w:r w:rsidRPr="002B370E">
        <w:rPr>
          <w:b/>
          <w:sz w:val="24"/>
          <w:szCs w:val="24"/>
        </w:rPr>
        <w:t>or withdraw</w:t>
      </w:r>
      <w:r>
        <w:rPr>
          <w:b/>
          <w:sz w:val="24"/>
          <w:szCs w:val="24"/>
        </w:rPr>
        <w:t>ing</w:t>
      </w:r>
      <w:r w:rsidRPr="002B370E">
        <w:rPr>
          <w:b/>
          <w:sz w:val="24"/>
          <w:szCs w:val="24"/>
        </w:rPr>
        <w:t xml:space="preserve"> tenders</w:t>
      </w:r>
    </w:p>
    <w:p w14:paraId="1E083805"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0542AA50" w14:textId="77777777"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E13939">
        <w:rPr>
          <w:sz w:val="22"/>
          <w:szCs w:val="22"/>
        </w:rPr>
        <w:t>8</w:t>
      </w:r>
      <w:r w:rsidRPr="002B370E">
        <w:rPr>
          <w:sz w:val="22"/>
          <w:szCs w:val="22"/>
        </w:rPr>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6DA219CD"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485BF610"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2F220EBE"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630FBE94" w14:textId="77777777"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A728DF9"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31F67917"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7B79CF71" w14:textId="77777777" w:rsidR="00B806F8" w:rsidRPr="002B370E" w:rsidRDefault="00B806F8" w:rsidP="00B806F8">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Pr>
          <w:sz w:val="22"/>
          <w:szCs w:val="22"/>
        </w:rPr>
        <w:t>t</w:t>
      </w:r>
      <w:r w:rsidRPr="002B370E">
        <w:rPr>
          <w:sz w:val="22"/>
          <w:szCs w:val="22"/>
        </w:rPr>
        <w:t xml:space="preserve">erms of </w:t>
      </w:r>
      <w:r>
        <w:rPr>
          <w:sz w:val="22"/>
          <w:szCs w:val="22"/>
        </w:rPr>
        <w:t>r</w:t>
      </w:r>
      <w:r w:rsidRPr="002B370E">
        <w:rPr>
          <w:sz w:val="22"/>
          <w:szCs w:val="22"/>
        </w:rPr>
        <w:t>eference.</w:t>
      </w:r>
    </w:p>
    <w:p w14:paraId="69B383A5" w14:textId="77777777" w:rsidR="00B806F8" w:rsidRPr="002A75C6" w:rsidRDefault="00B806F8" w:rsidP="00B806F8">
      <w:pPr>
        <w:jc w:val="both"/>
        <w:rPr>
          <w:sz w:val="22"/>
          <w:szCs w:val="22"/>
          <w:highlight w:val="lightGray"/>
        </w:rPr>
      </w:pPr>
      <w:r w:rsidRPr="002B370E">
        <w:rPr>
          <w:sz w:val="22"/>
          <w:szCs w:val="22"/>
        </w:rPr>
        <w:t>The evaluation of the technical offers will follow the procedures set out in Section 3.</w:t>
      </w:r>
      <w:r>
        <w:rPr>
          <w:sz w:val="22"/>
          <w:szCs w:val="22"/>
        </w:rPr>
        <w:t>4</w:t>
      </w:r>
      <w:r w:rsidRPr="002B370E">
        <w:rPr>
          <w:sz w:val="22"/>
          <w:szCs w:val="22"/>
        </w:rPr>
        <w:t>.10</w:t>
      </w:r>
      <w:r>
        <w:rPr>
          <w:sz w:val="22"/>
          <w:szCs w:val="22"/>
        </w:rPr>
        <w:t>.3</w:t>
      </w:r>
      <w:r w:rsidRPr="002B370E">
        <w:rPr>
          <w:sz w:val="22"/>
          <w:szCs w:val="22"/>
        </w:rPr>
        <w:t xml:space="preserve"> of the </w:t>
      </w:r>
      <w:r>
        <w:rPr>
          <w:sz w:val="22"/>
          <w:szCs w:val="22"/>
        </w:rPr>
        <w:t>p</w:t>
      </w:r>
      <w:r w:rsidRPr="002B370E">
        <w:rPr>
          <w:sz w:val="22"/>
          <w:szCs w:val="22"/>
        </w:rPr>
        <w:t xml:space="preserve">ractical </w:t>
      </w:r>
      <w:r>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Pr>
          <w:sz w:val="22"/>
          <w:szCs w:val="22"/>
        </w:rPr>
        <w:t>:</w:t>
      </w:r>
      <w:hyperlink r:id="rId10" w:history="1">
        <w:r w:rsidRPr="00AF0C80">
          <w:rPr>
            <w:rStyle w:val="Hyperlink"/>
            <w:sz w:val="22"/>
            <w:szCs w:val="22"/>
          </w:rPr>
          <w:t>https://wikis.ec.europa.eu/display/ExactExternalWiki/3.+Service+Contracts</w:t>
        </w:r>
      </w:hyperlink>
      <w:r>
        <w:rPr>
          <w:sz w:val="22"/>
          <w:szCs w:val="22"/>
        </w:rPr>
        <w:t>)</w:t>
      </w:r>
      <w:r w:rsidRPr="002B370E">
        <w:rPr>
          <w:sz w:val="22"/>
          <w:szCs w:val="22"/>
        </w:rPr>
        <w:t>.</w:t>
      </w:r>
    </w:p>
    <w:p w14:paraId="0E19152B" w14:textId="77777777" w:rsidR="003436FE" w:rsidRPr="00A72D70" w:rsidRDefault="003436FE" w:rsidP="003436FE">
      <w:pPr>
        <w:spacing w:before="120" w:after="120"/>
        <w:jc w:val="both"/>
        <w:rPr>
          <w:b/>
          <w:iCs/>
          <w:sz w:val="22"/>
          <w:szCs w:val="22"/>
        </w:rPr>
      </w:pPr>
      <w:r w:rsidRPr="00A72D70">
        <w:rPr>
          <w:b/>
          <w:iCs/>
          <w:sz w:val="22"/>
          <w:szCs w:val="22"/>
        </w:rPr>
        <w:t>12.1.1</w:t>
      </w:r>
      <w:r w:rsidR="00010683" w:rsidRPr="00A72D70">
        <w:rPr>
          <w:b/>
          <w:iCs/>
          <w:sz w:val="22"/>
          <w:szCs w:val="22"/>
        </w:rPr>
        <w:t>.</w:t>
      </w:r>
      <w:r w:rsidR="00010683" w:rsidRPr="00A72D70">
        <w:rPr>
          <w:b/>
          <w:iCs/>
          <w:sz w:val="22"/>
          <w:szCs w:val="22"/>
        </w:rPr>
        <w:tab/>
      </w:r>
      <w:r w:rsidRPr="00A72D70">
        <w:rPr>
          <w:b/>
          <w:iCs/>
          <w:sz w:val="22"/>
          <w:szCs w:val="22"/>
        </w:rPr>
        <w:t>Interviews</w:t>
      </w:r>
    </w:p>
    <w:p w14:paraId="7745DEED" w14:textId="77777777" w:rsidR="00A72D70" w:rsidRPr="0073553E" w:rsidRDefault="00A72D70" w:rsidP="00A72D70">
      <w:pPr>
        <w:spacing w:before="120" w:after="120"/>
        <w:jc w:val="both"/>
        <w:rPr>
          <w:sz w:val="22"/>
          <w:szCs w:val="22"/>
        </w:rPr>
      </w:pPr>
      <w:r w:rsidRPr="0073553E">
        <w:rPr>
          <w:sz w:val="22"/>
          <w:szCs w:val="22"/>
        </w:rPr>
        <w:t>No interviews are foreseen.</w:t>
      </w:r>
    </w:p>
    <w:p w14:paraId="595D07A2"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0D05CE69"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80 points or more). Tenders exceeding the maximum budget available for the contract will be eliminated.</w:t>
      </w:r>
    </w:p>
    <w:p w14:paraId="767F0FF2"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57D6BEB9" w14:textId="77777777" w:rsidR="003436FE" w:rsidRPr="00A72D70" w:rsidRDefault="003436FE" w:rsidP="003436FE">
      <w:pPr>
        <w:spacing w:before="120" w:after="120"/>
        <w:jc w:val="both"/>
        <w:rPr>
          <w:sz w:val="22"/>
          <w:szCs w:val="22"/>
        </w:rPr>
      </w:pPr>
      <w:r w:rsidRPr="00A72D70">
        <w:rPr>
          <w:sz w:val="22"/>
          <w:szCs w:val="22"/>
        </w:rPr>
        <w:t>The best value for money is established by weighing technical quality against price on an 80/20 basis.</w:t>
      </w:r>
    </w:p>
    <w:p w14:paraId="2B455854" w14:textId="77777777" w:rsidR="003436FE" w:rsidRPr="002B370E" w:rsidRDefault="003436FE" w:rsidP="003436FE">
      <w:pPr>
        <w:keepNext/>
        <w:spacing w:before="120" w:after="120"/>
        <w:jc w:val="both"/>
        <w:rPr>
          <w:b/>
          <w:sz w:val="22"/>
          <w:szCs w:val="22"/>
        </w:rPr>
      </w:pPr>
      <w:r w:rsidRPr="002B370E">
        <w:rPr>
          <w:b/>
          <w:sz w:val="22"/>
          <w:szCs w:val="22"/>
        </w:rPr>
        <w:lastRenderedPageBreak/>
        <w:t>12.4</w:t>
      </w:r>
      <w:r w:rsidR="00010683">
        <w:rPr>
          <w:b/>
          <w:sz w:val="22"/>
          <w:szCs w:val="22"/>
        </w:rPr>
        <w:t>.</w:t>
      </w:r>
      <w:r w:rsidR="00010683">
        <w:rPr>
          <w:b/>
          <w:sz w:val="22"/>
          <w:szCs w:val="22"/>
        </w:rPr>
        <w:tab/>
      </w:r>
      <w:r w:rsidRPr="002B370E">
        <w:rPr>
          <w:b/>
          <w:sz w:val="22"/>
          <w:szCs w:val="22"/>
        </w:rPr>
        <w:t>Confidentiality</w:t>
      </w:r>
    </w:p>
    <w:p w14:paraId="54A63B86" w14:textId="77777777" w:rsidR="003436FE" w:rsidRPr="002B370E" w:rsidRDefault="003436FE" w:rsidP="003436FE">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 the European Commission, the European Anti-Fraud Office and the European Court of Auditors.</w:t>
      </w:r>
    </w:p>
    <w:p w14:paraId="0C9117F8"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734F16B6" w14:textId="77777777"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14:paraId="281D30E2" w14:textId="77777777"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14:paraId="2BEC9D8B" w14:textId="77777777"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14:paraId="07E9DEB1" w14:textId="77777777"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D7176C0" w14:textId="77777777"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0B379B5C" w14:textId="77777777"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14:paraId="5E1F2932"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18335F93"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0DBE00D5"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3C62E245" w14:textId="77777777" w:rsidR="00F11E9B" w:rsidRDefault="003436FE" w:rsidP="00F11E9B">
      <w:pPr>
        <w:shd w:val="clear" w:color="auto" w:fill="FFFFFF"/>
        <w:spacing w:before="120" w:after="120"/>
        <w:jc w:val="both"/>
        <w:rPr>
          <w:sz w:val="22"/>
          <w:szCs w:val="22"/>
        </w:rPr>
      </w:pPr>
      <w:r w:rsidRPr="002B370E">
        <w:rPr>
          <w:sz w:val="22"/>
          <w:szCs w:val="22"/>
        </w:rPr>
        <w:t xml:space="preserve">The successful tenderer shall </w:t>
      </w:r>
      <w:r w:rsidR="00F11E9B">
        <w:rPr>
          <w:sz w:val="22"/>
          <w:szCs w:val="22"/>
        </w:rPr>
        <w:t xml:space="preserve">then confirm availability or unavailability of their key-experts within 5 days from the date of the notification of award. </w:t>
      </w:r>
    </w:p>
    <w:p w14:paraId="60F53AA2" w14:textId="77777777" w:rsidR="00F11E9B" w:rsidRPr="005110E1" w:rsidRDefault="00F11E9B" w:rsidP="00F11E9B">
      <w:pPr>
        <w:shd w:val="clear" w:color="auto" w:fill="FFFFFF"/>
        <w:spacing w:before="120" w:after="120"/>
        <w:jc w:val="both"/>
        <w:rPr>
          <w:sz w:val="22"/>
          <w:szCs w:val="22"/>
        </w:rPr>
      </w:pPr>
      <w:r w:rsidRPr="005110E1">
        <w:rPr>
          <w:sz w:val="22"/>
          <w:szCs w:val="22"/>
        </w:rPr>
        <w:lastRenderedPageBreak/>
        <w:t>In case of unavailability the tenderer will be allowed to propose replacement expert(s). The successful tenderer shall give due justification for the exchange of expert but the acceptance will not be limited to specific cases.</w:t>
      </w:r>
      <w:r w:rsidRPr="00F11E9B">
        <w:rPr>
          <w:sz w:val="22"/>
          <w:szCs w:val="22"/>
        </w:rPr>
        <w:t xml:space="preserve"> </w:t>
      </w:r>
      <w:r w:rsidRPr="005110E1">
        <w:rPr>
          <w:sz w:val="22"/>
          <w:szCs w:val="22"/>
        </w:rPr>
        <w:t xml:space="preserve">Several replacement experts may be proposed but only one time-period of 15 days from the date of the notification of award will be offered. </w:t>
      </w:r>
      <w:r w:rsidR="00937074">
        <w:rPr>
          <w:sz w:val="22"/>
          <w:szCs w:val="22"/>
        </w:rPr>
        <w:t>The replacement expert(s) cannot be an expert proposed by another tenderer in the same call for tender.</w:t>
      </w:r>
    </w:p>
    <w:p w14:paraId="6C89C1B9" w14:textId="77777777" w:rsidR="00F11E9B" w:rsidRPr="005110E1" w:rsidRDefault="00F11E9B" w:rsidP="00F11E9B">
      <w:pPr>
        <w:shd w:val="clear" w:color="auto" w:fill="FFFFFF"/>
        <w:spacing w:before="120" w:after="120"/>
        <w:jc w:val="both"/>
        <w:rPr>
          <w:sz w:val="22"/>
          <w:szCs w:val="22"/>
        </w:rPr>
      </w:pPr>
      <w:r w:rsidRPr="005110E1">
        <w:rPr>
          <w:sz w:val="22"/>
          <w:szCs w:val="22"/>
        </w:rPr>
        <w:t xml:space="preserve">The replacement expert's total score must be at least as high as the scores of the </w:t>
      </w:r>
      <w:r w:rsidR="009330CF" w:rsidRPr="005110E1">
        <w:rPr>
          <w:sz w:val="22"/>
          <w:szCs w:val="22"/>
        </w:rPr>
        <w:t>expert proposed</w:t>
      </w:r>
      <w:r w:rsidRPr="005110E1">
        <w:rPr>
          <w:sz w:val="22"/>
          <w:szCs w:val="22"/>
        </w:rPr>
        <w:t xml:space="preserve"> in the tender. It must be </w:t>
      </w:r>
      <w:r w:rsidR="009330CF" w:rsidRPr="005110E1">
        <w:rPr>
          <w:sz w:val="22"/>
          <w:szCs w:val="22"/>
        </w:rPr>
        <w:t>emphasized</w:t>
      </w:r>
      <w:r w:rsidRPr="005110E1">
        <w:rPr>
          <w:sz w:val="22"/>
          <w:szCs w:val="22"/>
        </w:rPr>
        <w:t xml:space="preserve"> that the minimum requirements for each evaluation criteria must be met by the replacement expert.  </w:t>
      </w:r>
    </w:p>
    <w:p w14:paraId="1352C95D" w14:textId="77777777" w:rsidR="003436FE" w:rsidRPr="002B370E" w:rsidRDefault="00F11E9B" w:rsidP="003436FE">
      <w:pPr>
        <w:shd w:val="clear" w:color="auto" w:fill="FFFFFF"/>
        <w:spacing w:before="120" w:after="120"/>
        <w:jc w:val="both"/>
        <w:rPr>
          <w:sz w:val="22"/>
          <w:szCs w:val="22"/>
        </w:rPr>
      </w:pPr>
      <w:r w:rsidRPr="005110E1">
        <w:rPr>
          <w:sz w:val="22"/>
          <w:szCs w:val="22"/>
        </w:rPr>
        <w:t>If replacement expert</w:t>
      </w:r>
      <w:r>
        <w:rPr>
          <w:sz w:val="22"/>
          <w:szCs w:val="22"/>
        </w:rPr>
        <w:t>s</w:t>
      </w:r>
      <w:r w:rsidRPr="005110E1">
        <w:rPr>
          <w:sz w:val="22"/>
          <w:szCs w:val="22"/>
        </w:rPr>
        <w:t xml:space="preserve"> are not proposed within the 15 </w:t>
      </w:r>
      <w:r w:rsidR="00121CA8" w:rsidRPr="005110E1">
        <w:rPr>
          <w:sz w:val="22"/>
          <w:szCs w:val="22"/>
        </w:rPr>
        <w:t>days’</w:t>
      </w:r>
      <w:r w:rsidRPr="005110E1">
        <w:rPr>
          <w:sz w:val="22"/>
          <w:szCs w:val="22"/>
        </w:rPr>
        <w:t xml:space="preserve"> delay or if the replacement experts are not sufficiently qualified, or that the proposal of the replacement expert amends the award conditions which took place, the Contracting Authority may decide to award the contract to the second best technically compliant tenderer (also giving them a chance to replace an expert should he/she not be available).</w:t>
      </w:r>
    </w:p>
    <w:p w14:paraId="13603BBD" w14:textId="77777777" w:rsidR="00F11E9B" w:rsidRDefault="00F11E9B" w:rsidP="00F11E9B">
      <w:pPr>
        <w:pStyle w:val="Style11ptJustifiedAfter12pt"/>
        <w:pBdr>
          <w:top w:val="single" w:sz="4" w:space="1" w:color="auto"/>
          <w:left w:val="single" w:sz="4" w:space="4" w:color="auto"/>
          <w:bottom w:val="single" w:sz="4" w:space="1" w:color="auto"/>
          <w:right w:val="single" w:sz="4" w:space="4" w:color="auto"/>
        </w:pBdr>
        <w:rPr>
          <w:rStyle w:val="StyleStyleLeftBoxSinglesolidlineAuto05ptLinewidthCh2Char"/>
        </w:rPr>
      </w:pPr>
      <w:r w:rsidRPr="003F355A">
        <w:rPr>
          <w:rStyle w:val="StyleStyleLeftBoxSinglesolidlineAuto05ptLinewidthCh2Char"/>
        </w:rPr>
        <w:t xml:space="preserve">Should the Contracting Authority learn that </w:t>
      </w:r>
      <w:r>
        <w:rPr>
          <w:rStyle w:val="StyleStyleLeftBoxSinglesolidlineAuto05ptLinewidthCh2Char"/>
        </w:rPr>
        <w:t xml:space="preserve">a tenderer has confirmed the availability of a key expert and signed the contract although the tenderer has deliberately concealed the fact that the expert is </w:t>
      </w:r>
      <w:r w:rsidR="00937074">
        <w:rPr>
          <w:rStyle w:val="StyleStyleLeftBoxSinglesolidlineAuto05ptLinewidthCh2Char"/>
        </w:rPr>
        <w:t>unavailable</w:t>
      </w:r>
      <w:r>
        <w:rPr>
          <w:rStyle w:val="StyleStyleLeftBoxSinglesolidlineAuto05ptLinewidthCh2Char"/>
        </w:rPr>
        <w:t xml:space="preserve"> from the date specified in the tender dossier for the start of the assignment, the Contracting Authority </w:t>
      </w:r>
      <w:r w:rsidRPr="003F355A">
        <w:rPr>
          <w:rStyle w:val="StyleStyleLeftBoxSinglesolidlineAuto05ptLinewidthCh2Char"/>
        </w:rPr>
        <w:t xml:space="preserve">may decide to </w:t>
      </w:r>
      <w:r>
        <w:rPr>
          <w:rStyle w:val="StyleStyleLeftBoxSinglesolidlineAuto05ptLinewidthCh2Char"/>
        </w:rPr>
        <w:t>terminate</w:t>
      </w:r>
      <w:r w:rsidRPr="003F355A">
        <w:rPr>
          <w:rStyle w:val="StyleStyleLeftBoxSinglesolidlineAuto05ptLinewidthCh2Char"/>
        </w:rPr>
        <w:t xml:space="preserve"> the contract</w:t>
      </w:r>
      <w:r>
        <w:rPr>
          <w:rStyle w:val="StyleStyleLeftBoxSinglesolidlineAuto05ptLinewidthCh2Char"/>
        </w:rPr>
        <w:t xml:space="preserve"> on the basis of article 36.3 (m)</w:t>
      </w:r>
      <w:r w:rsidRPr="003F355A">
        <w:rPr>
          <w:rStyle w:val="StyleStyleLeftBoxSinglesolidlineAuto05ptLinewidthCh2Char"/>
        </w:rPr>
        <w:t xml:space="preserve"> </w:t>
      </w:r>
      <w:r>
        <w:rPr>
          <w:rStyle w:val="StyleStyleLeftBoxSinglesolidlineAuto05ptLinewidthCh2Char"/>
        </w:rPr>
        <w:t xml:space="preserve">of the General Conditions. </w:t>
      </w:r>
    </w:p>
    <w:p w14:paraId="048B6D2F" w14:textId="77777777" w:rsidR="00F11E9B" w:rsidRPr="000C3952" w:rsidRDefault="00F11E9B" w:rsidP="00F11E9B">
      <w:pPr>
        <w:pStyle w:val="Style11ptJustifiedAfter12pt"/>
        <w:pBdr>
          <w:top w:val="single" w:sz="4" w:space="1" w:color="auto"/>
          <w:left w:val="single" w:sz="4" w:space="4" w:color="auto"/>
          <w:bottom w:val="single" w:sz="4" w:space="1" w:color="auto"/>
          <w:right w:val="single" w:sz="4" w:space="4" w:color="auto"/>
        </w:pBdr>
      </w:pPr>
      <w:r w:rsidRPr="00462B12">
        <w:t>It is reminded that the tenderer</w:t>
      </w:r>
      <w:r>
        <w:t>/</w:t>
      </w:r>
      <w:r w:rsidRPr="00462B12">
        <w:t>contractor may also be subject to administrative and financial penalties f</w:t>
      </w:r>
      <w:r>
        <w:t>oreseen in section 2.3.4 of the</w:t>
      </w:r>
      <w:r w:rsidRPr="00462B12">
        <w:t xml:space="preserve"> </w:t>
      </w:r>
      <w:r>
        <w:t xml:space="preserve">PRAG and </w:t>
      </w:r>
      <w:r w:rsidR="007A0123">
        <w:t xml:space="preserve">article 10.2 of the General Conditions of service contracts. </w:t>
      </w:r>
      <w:proofErr w:type="gramStart"/>
      <w:r w:rsidR="007A0123">
        <w:t>F</w:t>
      </w:r>
      <w:r>
        <w:t>urthermore</w:t>
      </w:r>
      <w:proofErr w:type="gramEnd"/>
      <w:r>
        <w:t xml:space="preserve"> it may lead </w:t>
      </w:r>
      <w:r w:rsidRPr="003F355A">
        <w:rPr>
          <w:rStyle w:val="StyleStyleLeftBoxSinglesolidlineAuto05ptLinewidthCh2Char"/>
        </w:rPr>
        <w:t xml:space="preserve">to a tenderer's </w:t>
      </w:r>
      <w:r>
        <w:rPr>
          <w:rStyle w:val="StyleStyleLeftBoxSinglesolidlineAuto05ptLinewidthCh2Char"/>
        </w:rPr>
        <w:t xml:space="preserve">/contractor's </w:t>
      </w:r>
      <w:r w:rsidRPr="003F355A">
        <w:rPr>
          <w:rStyle w:val="StyleStyleLeftBoxSinglesolidlineAuto05ptLinewidthCh2Char"/>
        </w:rPr>
        <w:t>exclusion from other contracts funded by the European Union.</w:t>
      </w:r>
    </w:p>
    <w:p w14:paraId="6CAB7D1D"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B5A3C3E"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Within 30 days of receipt of the contract already signed by the Contracting Authority, the selected tenderer shall sign and date the contract and return it to the Contracting Authority.</w:t>
      </w:r>
    </w:p>
    <w:p w14:paraId="109D85E6"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14:paraId="0E108402"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14:paraId="48B5C34A" w14:textId="77777777"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2BA6DC34"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2C2B0E0A"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Contracting Authority will notify tenderers of the cancellation. If the tender procedure is cancelled before the outer envelope of </w:t>
      </w:r>
      <w:r w:rsidRPr="002B370E">
        <w:rPr>
          <w:sz w:val="22"/>
          <w:szCs w:val="22"/>
        </w:rPr>
        <w:lastRenderedPageBreak/>
        <w:t>any tender has been opened, the unopened and sealed envelopes will be returned to the tenderers.</w:t>
      </w:r>
    </w:p>
    <w:p w14:paraId="1F09005B"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14:paraId="01531F8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14:paraId="6075BA19"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455D33A1"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713BBA3E"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14:paraId="772BAFF3"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3EA92C01"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2FBE0B69" w14:textId="0D47E8C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 or project announced.</w:t>
      </w:r>
    </w:p>
    <w:p w14:paraId="36D7208C"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01C109D8"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sectPr w:rsidR="003436FE" w:rsidRPr="002B370E" w:rsidSect="003436FE">
      <w:footerReference w:type="even" r:id="rId11"/>
      <w:footerReference w:type="default" r:id="rId12"/>
      <w:headerReference w:type="first" r:id="rId13"/>
      <w:footerReference w:type="first" r:id="rId14"/>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E80B" w14:textId="77777777" w:rsidR="003B100D" w:rsidRDefault="003B100D">
      <w:r>
        <w:separator/>
      </w:r>
    </w:p>
  </w:endnote>
  <w:endnote w:type="continuationSeparator" w:id="0">
    <w:p w14:paraId="724E4C6A" w14:textId="77777777" w:rsidR="003B100D" w:rsidRDefault="003B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9B59" w14:textId="77777777" w:rsidR="00396D4A" w:rsidRDefault="00396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5FB0818" w14:textId="77777777" w:rsidR="00396D4A" w:rsidRDefault="00396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40E1" w14:textId="77777777" w:rsidR="006E2983" w:rsidRPr="002B370E" w:rsidRDefault="006E2983" w:rsidP="006E2983">
    <w:pPr>
      <w:pStyle w:val="Footer"/>
      <w:tabs>
        <w:tab w:val="clear" w:pos="4320"/>
        <w:tab w:val="clear" w:pos="8640"/>
        <w:tab w:val="right" w:pos="8080"/>
      </w:tabs>
      <w:spacing w:before="120"/>
      <w:rPr>
        <w:rStyle w:val="PageNumber"/>
      </w:rPr>
    </w:pPr>
    <w:r>
      <w:rPr>
        <w:b/>
        <w:sz w:val="18"/>
        <w:szCs w:val="18"/>
      </w:rPr>
      <w:t>2021.1</w:t>
    </w:r>
    <w:r w:rsidRPr="002B370E">
      <w:rPr>
        <w:rFonts w:ascii="Arial" w:hAnsi="Arial"/>
      </w:rPr>
      <w:tab/>
    </w:r>
  </w:p>
  <w:p w14:paraId="25B29F9D" w14:textId="77777777" w:rsidR="006E2983" w:rsidRPr="002B370E" w:rsidRDefault="006E2983" w:rsidP="006E2983">
    <w:pPr>
      <w:pStyle w:val="Footer"/>
      <w:tabs>
        <w:tab w:val="clear" w:pos="4320"/>
        <w:tab w:val="clear" w:pos="8640"/>
        <w:tab w:val="right" w:pos="8080"/>
      </w:tabs>
    </w:pPr>
    <w:r>
      <w:rPr>
        <w:noProof/>
      </w:rPr>
      <w:fldChar w:fldCharType="begin"/>
    </w:r>
    <w:r>
      <w:rPr>
        <w:noProof/>
      </w:rPr>
      <w:instrText xml:space="preserve"> FILENAME </w:instrText>
    </w:r>
    <w:r>
      <w:rPr>
        <w:noProof/>
      </w:rPr>
      <w:fldChar w:fldCharType="separate"/>
    </w:r>
    <w:r>
      <w:rPr>
        <w:noProof/>
      </w:rPr>
      <w:t>b8b_itt__eForms_en.doc</w:t>
    </w:r>
    <w:r>
      <w:rPr>
        <w:noProof/>
      </w:rPr>
      <w:fldChar w:fldCharType="end"/>
    </w:r>
  </w:p>
  <w:p w14:paraId="44EAFD9C" w14:textId="77777777" w:rsidR="006E2983" w:rsidRPr="00333459" w:rsidRDefault="006E2983" w:rsidP="006E2983">
    <w:pPr>
      <w:pStyle w:val="Footer"/>
    </w:pPr>
  </w:p>
  <w:p w14:paraId="4B94D5A5" w14:textId="77777777" w:rsidR="00396D4A" w:rsidRPr="00333459" w:rsidRDefault="00396D4A" w:rsidP="00333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333459" w:rsidRPr="002B370E" w:rsidRDefault="00333459" w:rsidP="00D55C2C">
    <w:pPr>
      <w:pStyle w:val="Footer"/>
      <w:tabs>
        <w:tab w:val="clear" w:pos="4320"/>
        <w:tab w:val="clear" w:pos="8640"/>
        <w:tab w:val="right" w:pos="8080"/>
      </w:tabs>
      <w:spacing w:before="120"/>
    </w:pPr>
    <w:r w:rsidRPr="002B370E">
      <w:rPr>
        <w:rFonts w:ascii="Arial" w:hAnsi="Arial"/>
      </w:rPr>
      <w:tab/>
    </w:r>
  </w:p>
  <w:p w14:paraId="7BA97E97" w14:textId="77777777" w:rsidR="00966FC3" w:rsidRPr="002B370E" w:rsidRDefault="00966FC3" w:rsidP="00966FC3">
    <w:pPr>
      <w:pStyle w:val="Footer"/>
      <w:tabs>
        <w:tab w:val="clear" w:pos="4320"/>
        <w:tab w:val="clear" w:pos="8640"/>
        <w:tab w:val="right" w:pos="8080"/>
      </w:tabs>
      <w:spacing w:before="120"/>
      <w:rPr>
        <w:rStyle w:val="PageNumber"/>
      </w:rPr>
    </w:pPr>
    <w:r>
      <w:rPr>
        <w:b/>
        <w:sz w:val="18"/>
        <w:szCs w:val="18"/>
      </w:rPr>
      <w:t>2021.1</w:t>
    </w:r>
    <w:r w:rsidRPr="002B370E">
      <w:rPr>
        <w:rFonts w:ascii="Arial" w:hAnsi="Arial"/>
      </w:rPr>
      <w:tab/>
    </w:r>
  </w:p>
  <w:p w14:paraId="7E5CC2B0" w14:textId="77777777" w:rsidR="00966FC3" w:rsidRPr="002B370E" w:rsidRDefault="00966FC3" w:rsidP="00966FC3">
    <w:pPr>
      <w:pStyle w:val="Footer"/>
      <w:tabs>
        <w:tab w:val="clear" w:pos="4320"/>
        <w:tab w:val="clear" w:pos="8640"/>
        <w:tab w:val="right" w:pos="8080"/>
      </w:tabs>
    </w:pPr>
    <w:r>
      <w:rPr>
        <w:noProof/>
      </w:rPr>
      <w:fldChar w:fldCharType="begin"/>
    </w:r>
    <w:r>
      <w:rPr>
        <w:noProof/>
      </w:rPr>
      <w:instrText xml:space="preserve"> FILENAME </w:instrText>
    </w:r>
    <w:r>
      <w:rPr>
        <w:noProof/>
      </w:rPr>
      <w:fldChar w:fldCharType="separate"/>
    </w:r>
    <w:r>
      <w:rPr>
        <w:noProof/>
      </w:rPr>
      <w:t>b8b_itt__eForms_en.doc</w:t>
    </w:r>
    <w:r>
      <w:rPr>
        <w:noProof/>
      </w:rPr>
      <w:fldChar w:fldCharType="end"/>
    </w:r>
  </w:p>
  <w:p w14:paraId="649841BE" w14:textId="77777777" w:rsidR="00396D4A" w:rsidRPr="00333459" w:rsidRDefault="00CD49DB" w:rsidP="00333459">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63E3" w14:textId="77777777" w:rsidR="003B100D" w:rsidRDefault="003B100D">
      <w:r>
        <w:separator/>
      </w:r>
    </w:p>
  </w:footnote>
  <w:footnote w:type="continuationSeparator" w:id="0">
    <w:p w14:paraId="650F2EC2" w14:textId="77777777" w:rsidR="003B100D" w:rsidRDefault="003B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011D" w14:textId="77777777" w:rsidR="00396D4A" w:rsidRPr="00AD4777" w:rsidRDefault="00396D4A">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6"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7"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19"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4"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6"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7"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9"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20E07E6"/>
    <w:multiLevelType w:val="singleLevel"/>
    <w:tmpl w:val="3AC86568"/>
    <w:lvl w:ilvl="0">
      <w:start w:val="1"/>
      <w:numFmt w:val="lowerLetter"/>
      <w:lvlText w:val="%1)"/>
      <w:lvlJc w:val="left"/>
      <w:pPr>
        <w:tabs>
          <w:tab w:val="num" w:pos="861"/>
        </w:tabs>
        <w:ind w:left="861" w:hanging="435"/>
      </w:pPr>
      <w:rPr>
        <w:rFonts w:hint="default"/>
        <w:color w:val="auto"/>
      </w:rPr>
    </w:lvl>
  </w:abstractNum>
  <w:abstractNum w:abstractNumId="3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6"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8"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3"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4"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5"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5"/>
  </w:num>
  <w:num w:numId="4">
    <w:abstractNumId w:val="6"/>
  </w:num>
  <w:num w:numId="5">
    <w:abstractNumId w:val="36"/>
  </w:num>
  <w:num w:numId="6">
    <w:abstractNumId w:val="10"/>
  </w:num>
  <w:num w:numId="7">
    <w:abstractNumId w:val="12"/>
  </w:num>
  <w:num w:numId="8">
    <w:abstractNumId w:val="9"/>
  </w:num>
  <w:num w:numId="9">
    <w:abstractNumId w:val="2"/>
  </w:num>
  <w:num w:numId="10">
    <w:abstractNumId w:val="25"/>
  </w:num>
  <w:num w:numId="11">
    <w:abstractNumId w:val="43"/>
  </w:num>
  <w:num w:numId="12">
    <w:abstractNumId w:val="15"/>
  </w:num>
  <w:num w:numId="13">
    <w:abstractNumId w:val="1"/>
  </w:num>
  <w:num w:numId="14">
    <w:abstractNumId w:val="11"/>
  </w:num>
  <w:num w:numId="15">
    <w:abstractNumId w:val="31"/>
  </w:num>
  <w:num w:numId="16">
    <w:abstractNumId w:val="4"/>
  </w:num>
  <w:num w:numId="17">
    <w:abstractNumId w:val="22"/>
  </w:num>
  <w:num w:numId="18">
    <w:abstractNumId w:val="2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8"/>
  </w:num>
  <w:num w:numId="21">
    <w:abstractNumId w:val="26"/>
  </w:num>
  <w:num w:numId="22">
    <w:abstractNumId w:val="3"/>
  </w:num>
  <w:num w:numId="23">
    <w:abstractNumId w:val="38"/>
  </w:num>
  <w:num w:numId="24">
    <w:abstractNumId w:val="34"/>
  </w:num>
  <w:num w:numId="25">
    <w:abstractNumId w:val="14"/>
  </w:num>
  <w:num w:numId="26">
    <w:abstractNumId w:val="35"/>
  </w:num>
  <w:num w:numId="27">
    <w:abstractNumId w:val="16"/>
  </w:num>
  <w:num w:numId="28">
    <w:abstractNumId w:val="27"/>
  </w:num>
  <w:num w:numId="29">
    <w:abstractNumId w:val="17"/>
  </w:num>
  <w:num w:numId="30">
    <w:abstractNumId w:val="39"/>
  </w:num>
  <w:num w:numId="31">
    <w:abstractNumId w:val="18"/>
  </w:num>
  <w:num w:numId="32">
    <w:abstractNumId w:val="44"/>
  </w:num>
  <w:num w:numId="33">
    <w:abstractNumId w:val="32"/>
  </w:num>
  <w:num w:numId="34">
    <w:abstractNumId w:val="21"/>
  </w:num>
  <w:num w:numId="35">
    <w:abstractNumId w:val="20"/>
  </w:num>
  <w:num w:numId="36">
    <w:abstractNumId w:val="29"/>
  </w:num>
  <w:num w:numId="37">
    <w:abstractNumId w:val="33"/>
  </w:num>
  <w:num w:numId="38">
    <w:abstractNumId w:val="42"/>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0"/>
  </w:num>
  <w:num w:numId="41">
    <w:abstractNumId w:val="13"/>
  </w:num>
  <w:num w:numId="42">
    <w:abstractNumId w:val="24"/>
  </w:num>
  <w:num w:numId="43">
    <w:abstractNumId w:val="7"/>
  </w:num>
  <w:num w:numId="44">
    <w:abstractNumId w:val="41"/>
  </w:num>
  <w:num w:numId="45">
    <w:abstractNumId w:val="19"/>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50F2"/>
    <w:rsid w:val="00010683"/>
    <w:rsid w:val="00014926"/>
    <w:rsid w:val="0004095E"/>
    <w:rsid w:val="00041D63"/>
    <w:rsid w:val="000428AD"/>
    <w:rsid w:val="000614A3"/>
    <w:rsid w:val="00077297"/>
    <w:rsid w:val="000821EE"/>
    <w:rsid w:val="0008313A"/>
    <w:rsid w:val="000913E8"/>
    <w:rsid w:val="000D731B"/>
    <w:rsid w:val="00121CA8"/>
    <w:rsid w:val="00126F3A"/>
    <w:rsid w:val="00153661"/>
    <w:rsid w:val="001671BA"/>
    <w:rsid w:val="001727ED"/>
    <w:rsid w:val="001B5F4B"/>
    <w:rsid w:val="001C0F8D"/>
    <w:rsid w:val="001E4CA3"/>
    <w:rsid w:val="00216E18"/>
    <w:rsid w:val="00245C38"/>
    <w:rsid w:val="00272743"/>
    <w:rsid w:val="00290ACC"/>
    <w:rsid w:val="00294800"/>
    <w:rsid w:val="002B0E84"/>
    <w:rsid w:val="002B274B"/>
    <w:rsid w:val="002B75E8"/>
    <w:rsid w:val="002F6273"/>
    <w:rsid w:val="003121C6"/>
    <w:rsid w:val="00324619"/>
    <w:rsid w:val="0033032E"/>
    <w:rsid w:val="00330CAC"/>
    <w:rsid w:val="00333459"/>
    <w:rsid w:val="00337606"/>
    <w:rsid w:val="003436FE"/>
    <w:rsid w:val="003564DA"/>
    <w:rsid w:val="00364A82"/>
    <w:rsid w:val="003924DF"/>
    <w:rsid w:val="00396D4A"/>
    <w:rsid w:val="003B100D"/>
    <w:rsid w:val="003C2ED7"/>
    <w:rsid w:val="003E0C78"/>
    <w:rsid w:val="003F5D11"/>
    <w:rsid w:val="0041048A"/>
    <w:rsid w:val="00463A51"/>
    <w:rsid w:val="00466168"/>
    <w:rsid w:val="004831A7"/>
    <w:rsid w:val="0048664A"/>
    <w:rsid w:val="00486C50"/>
    <w:rsid w:val="00495144"/>
    <w:rsid w:val="00497FEF"/>
    <w:rsid w:val="004B3B5A"/>
    <w:rsid w:val="004C1C27"/>
    <w:rsid w:val="004D2399"/>
    <w:rsid w:val="004D7194"/>
    <w:rsid w:val="00511233"/>
    <w:rsid w:val="00517439"/>
    <w:rsid w:val="005510F3"/>
    <w:rsid w:val="0055374C"/>
    <w:rsid w:val="0056210A"/>
    <w:rsid w:val="0056414B"/>
    <w:rsid w:val="00571547"/>
    <w:rsid w:val="00574DD1"/>
    <w:rsid w:val="00580413"/>
    <w:rsid w:val="00594844"/>
    <w:rsid w:val="00594E1E"/>
    <w:rsid w:val="0059717C"/>
    <w:rsid w:val="005A7701"/>
    <w:rsid w:val="005B2947"/>
    <w:rsid w:val="005B560B"/>
    <w:rsid w:val="005B6AC7"/>
    <w:rsid w:val="005C44AA"/>
    <w:rsid w:val="005D4594"/>
    <w:rsid w:val="00605338"/>
    <w:rsid w:val="00627717"/>
    <w:rsid w:val="00632671"/>
    <w:rsid w:val="006365A9"/>
    <w:rsid w:val="0064093A"/>
    <w:rsid w:val="00646075"/>
    <w:rsid w:val="0067277C"/>
    <w:rsid w:val="00681768"/>
    <w:rsid w:val="006A0C62"/>
    <w:rsid w:val="006B1625"/>
    <w:rsid w:val="006C48CA"/>
    <w:rsid w:val="006E2983"/>
    <w:rsid w:val="006F25A2"/>
    <w:rsid w:val="006F32F9"/>
    <w:rsid w:val="006F5D6C"/>
    <w:rsid w:val="00763C86"/>
    <w:rsid w:val="00763E7C"/>
    <w:rsid w:val="00776DB9"/>
    <w:rsid w:val="007A0123"/>
    <w:rsid w:val="007B39E9"/>
    <w:rsid w:val="007B5B54"/>
    <w:rsid w:val="007C3D9F"/>
    <w:rsid w:val="007F0F8A"/>
    <w:rsid w:val="007F760C"/>
    <w:rsid w:val="00810B5A"/>
    <w:rsid w:val="00811B6C"/>
    <w:rsid w:val="0082090B"/>
    <w:rsid w:val="00830A4A"/>
    <w:rsid w:val="008531BA"/>
    <w:rsid w:val="00855F72"/>
    <w:rsid w:val="008C1DD8"/>
    <w:rsid w:val="008C6E4D"/>
    <w:rsid w:val="009063CE"/>
    <w:rsid w:val="00917284"/>
    <w:rsid w:val="0093056A"/>
    <w:rsid w:val="009330CF"/>
    <w:rsid w:val="00937074"/>
    <w:rsid w:val="009436A4"/>
    <w:rsid w:val="00956D03"/>
    <w:rsid w:val="0096445B"/>
    <w:rsid w:val="00966FC3"/>
    <w:rsid w:val="00986622"/>
    <w:rsid w:val="00987220"/>
    <w:rsid w:val="009A128F"/>
    <w:rsid w:val="009B19CF"/>
    <w:rsid w:val="009B605A"/>
    <w:rsid w:val="009C7BD6"/>
    <w:rsid w:val="009D1ED3"/>
    <w:rsid w:val="009F1727"/>
    <w:rsid w:val="00A00C4C"/>
    <w:rsid w:val="00A37923"/>
    <w:rsid w:val="00A40848"/>
    <w:rsid w:val="00A42171"/>
    <w:rsid w:val="00A55AB8"/>
    <w:rsid w:val="00A601BA"/>
    <w:rsid w:val="00A67DCD"/>
    <w:rsid w:val="00A72D70"/>
    <w:rsid w:val="00A81096"/>
    <w:rsid w:val="00A8705E"/>
    <w:rsid w:val="00AA1F80"/>
    <w:rsid w:val="00AB5C71"/>
    <w:rsid w:val="00AB7549"/>
    <w:rsid w:val="00AD5992"/>
    <w:rsid w:val="00AE40AC"/>
    <w:rsid w:val="00B04A50"/>
    <w:rsid w:val="00B17848"/>
    <w:rsid w:val="00B47D1E"/>
    <w:rsid w:val="00B51BF7"/>
    <w:rsid w:val="00B5592A"/>
    <w:rsid w:val="00B6430E"/>
    <w:rsid w:val="00B7455A"/>
    <w:rsid w:val="00B806F8"/>
    <w:rsid w:val="00B860B0"/>
    <w:rsid w:val="00B928D5"/>
    <w:rsid w:val="00BB6C9D"/>
    <w:rsid w:val="00BD5B00"/>
    <w:rsid w:val="00BE75AA"/>
    <w:rsid w:val="00BF01CC"/>
    <w:rsid w:val="00C2286C"/>
    <w:rsid w:val="00C33368"/>
    <w:rsid w:val="00C41482"/>
    <w:rsid w:val="00C4433E"/>
    <w:rsid w:val="00C96E6A"/>
    <w:rsid w:val="00CC68F3"/>
    <w:rsid w:val="00CD316F"/>
    <w:rsid w:val="00CD49DB"/>
    <w:rsid w:val="00CE3E3E"/>
    <w:rsid w:val="00CE53EA"/>
    <w:rsid w:val="00D1075E"/>
    <w:rsid w:val="00D44602"/>
    <w:rsid w:val="00D45925"/>
    <w:rsid w:val="00D550F2"/>
    <w:rsid w:val="00D55C2C"/>
    <w:rsid w:val="00D86F6D"/>
    <w:rsid w:val="00DA1AF2"/>
    <w:rsid w:val="00DA6ADC"/>
    <w:rsid w:val="00DC4FF4"/>
    <w:rsid w:val="00DE1210"/>
    <w:rsid w:val="00DF5443"/>
    <w:rsid w:val="00E13939"/>
    <w:rsid w:val="00E4098C"/>
    <w:rsid w:val="00E57F0E"/>
    <w:rsid w:val="00E646EA"/>
    <w:rsid w:val="00E8191A"/>
    <w:rsid w:val="00EA1824"/>
    <w:rsid w:val="00EA7FAC"/>
    <w:rsid w:val="00ED0499"/>
    <w:rsid w:val="00EF67ED"/>
    <w:rsid w:val="00F11E9B"/>
    <w:rsid w:val="00F13B7D"/>
    <w:rsid w:val="00F13FE8"/>
    <w:rsid w:val="00F2785B"/>
    <w:rsid w:val="00F53979"/>
    <w:rsid w:val="00F70DD4"/>
    <w:rsid w:val="00FC4290"/>
    <w:rsid w:val="00FE53A9"/>
    <w:rsid w:val="033F4AF5"/>
    <w:rsid w:val="05A73023"/>
    <w:rsid w:val="0E981180"/>
    <w:rsid w:val="0F8BC09A"/>
    <w:rsid w:val="1BCCFE33"/>
    <w:rsid w:val="1DA5ED99"/>
    <w:rsid w:val="1F42F955"/>
    <w:rsid w:val="1F7FA0FD"/>
    <w:rsid w:val="21B5F8A2"/>
    <w:rsid w:val="30E577CF"/>
    <w:rsid w:val="31CD7521"/>
    <w:rsid w:val="335DB5BF"/>
    <w:rsid w:val="35DC6154"/>
    <w:rsid w:val="37DAC1E7"/>
    <w:rsid w:val="3A34E5A9"/>
    <w:rsid w:val="3E20952F"/>
    <w:rsid w:val="3E308997"/>
    <w:rsid w:val="4A8FD195"/>
    <w:rsid w:val="4C2B8658"/>
    <w:rsid w:val="4E9A090C"/>
    <w:rsid w:val="5244F786"/>
    <w:rsid w:val="59AF642A"/>
    <w:rsid w:val="5AFC2671"/>
    <w:rsid w:val="6694B77A"/>
    <w:rsid w:val="72181606"/>
    <w:rsid w:val="7B42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2D34F"/>
  <w15:chartTrackingRefBased/>
  <w15:docId w15:val="{C3B1431E-7515-4166-8D37-C71C174F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CA8"/>
    <w:rPr>
      <w:lang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lang w:val="x-none" w:eastAsia="x-none"/>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eastAsia="en-US"/>
    </w:rPr>
  </w:style>
  <w:style w:type="paragraph" w:styleId="FootnoteText">
    <w:name w:val="footnote text"/>
    <w:basedOn w:val="Normal"/>
    <w:semiHidden/>
    <w:rsid w:val="00CB5FF3"/>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val="en-GB"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lang w:val="en-GB"/>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lang w:val="en-GB"/>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customStyle="1" w:styleId="SubtitleChar">
    <w:name w:val="Subtitle Char"/>
    <w:link w:val="Subtitle"/>
    <w:rsid w:val="00594E1E"/>
    <w:rPr>
      <w:b/>
      <w:sz w:val="28"/>
      <w:lang w:val="fr-BE" w:eastAsia="en-GB"/>
    </w:rPr>
  </w:style>
  <w:style w:type="character" w:customStyle="1" w:styleId="FooterChar">
    <w:name w:val="Footer Char"/>
    <w:basedOn w:val="DefaultParagraphFont"/>
    <w:link w:val="Footer"/>
    <w:uiPriority w:val="99"/>
    <w:rsid w:val="00966FC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documents/execution/services/b8annexvbudgetfee_en.x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s.ec.europa.eu/display/ExactExternalWiki/3.+Service+Contracts"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6521-8C16-428C-BC88-DFC4E3CA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daortaberdaj@gmail.com</cp:lastModifiedBy>
  <cp:revision>5</cp:revision>
  <cp:lastPrinted>2020-06-11T20:24:00Z</cp:lastPrinted>
  <dcterms:created xsi:type="dcterms:W3CDTF">2025-01-09T10:57:00Z</dcterms:created>
  <dcterms:modified xsi:type="dcterms:W3CDTF">2025-01-13T09:56:00Z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